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1271D" w14:textId="76F79A85" w:rsidR="00EE02D4" w:rsidRPr="00CE4A9B" w:rsidRDefault="2D4A39AD">
      <w:bookmarkStart w:id="0" w:name="_GoBack"/>
      <w:bookmarkEnd w:id="0"/>
      <w:r w:rsidRPr="00CE4A9B">
        <w:rPr>
          <w:rFonts w:ascii="Arial" w:eastAsia="Arial" w:hAnsi="Arial" w:cs="Arial"/>
          <w:b/>
          <w:bCs/>
          <w:color w:val="000000" w:themeColor="text1"/>
          <w:sz w:val="28"/>
          <w:szCs w:val="28"/>
        </w:rPr>
        <w:t>Proposed commitment for the UK’s Open Government Partnership’s 2021-2023 National Action Plan</w:t>
      </w:r>
    </w:p>
    <w:p w14:paraId="039322B2" w14:textId="3FFF1B0F" w:rsidR="00EE02D4" w:rsidRPr="00CE4A9B" w:rsidRDefault="001D4328">
      <w:r w:rsidRPr="001D4328">
        <w:rPr>
          <w:rFonts w:ascii="Arial" w:eastAsia="Arial" w:hAnsi="Arial" w:cs="Arial"/>
          <w:color w:val="000000" w:themeColor="text1"/>
          <w:sz w:val="20"/>
          <w:szCs w:val="20"/>
        </w:rPr>
        <w:t>20</w:t>
      </w:r>
      <w:r w:rsidR="006B2C06" w:rsidRPr="00CE4A9B">
        <w:rPr>
          <w:rFonts w:ascii="Arial" w:eastAsia="Arial" w:hAnsi="Arial" w:cs="Arial"/>
          <w:color w:val="000000" w:themeColor="text1"/>
          <w:sz w:val="20"/>
          <w:szCs w:val="20"/>
        </w:rPr>
        <w:t xml:space="preserve"> J</w:t>
      </w:r>
      <w:r w:rsidR="2D4A39AD" w:rsidRPr="00CE4A9B">
        <w:rPr>
          <w:rFonts w:ascii="Arial" w:eastAsia="Arial" w:hAnsi="Arial" w:cs="Arial"/>
          <w:color w:val="000000" w:themeColor="text1"/>
          <w:sz w:val="20"/>
          <w:szCs w:val="20"/>
        </w:rPr>
        <w:t>uly 2021</w:t>
      </w:r>
    </w:p>
    <w:p w14:paraId="1678AD4D" w14:textId="29735989" w:rsidR="00EE02D4" w:rsidRPr="00CE4A9B" w:rsidRDefault="2D4A39AD">
      <w:r w:rsidRPr="00CE4A9B">
        <w:rPr>
          <w:rFonts w:ascii="Arial" w:eastAsia="Arial" w:hAnsi="Arial" w:cs="Arial"/>
          <w:color w:val="000000" w:themeColor="text1"/>
          <w:sz w:val="20"/>
          <w:szCs w:val="20"/>
        </w:rPr>
        <w:t>This proposal is put forward by Publish What You Fund (PWYF)</w:t>
      </w:r>
      <w:r w:rsidR="001D4328">
        <w:rPr>
          <w:rFonts w:ascii="Arial" w:eastAsia="Arial" w:hAnsi="Arial" w:cs="Arial"/>
          <w:color w:val="000000" w:themeColor="text1"/>
          <w:sz w:val="20"/>
          <w:szCs w:val="20"/>
        </w:rPr>
        <w:t>, Development Initiatives</w:t>
      </w:r>
      <w:r w:rsidRPr="00CE4A9B">
        <w:rPr>
          <w:rFonts w:ascii="Arial" w:eastAsia="Arial" w:hAnsi="Arial" w:cs="Arial"/>
          <w:color w:val="000000" w:themeColor="text1"/>
          <w:sz w:val="20"/>
          <w:szCs w:val="20"/>
        </w:rPr>
        <w:t xml:space="preserve"> and Bond, on behalf of the Bond Transparency Working Group (TWG), a group of development and humanitarian organisations that work to improve transparency and accountability of the international development sector.</w:t>
      </w:r>
    </w:p>
    <w:p w14:paraId="4F48FF65" w14:textId="595A71E3" w:rsidR="00EE02D4" w:rsidRPr="00CE4A9B" w:rsidRDefault="2D4A39AD">
      <w:r w:rsidRPr="00CE4A9B">
        <w:rPr>
          <w:rFonts w:ascii="Arial" w:eastAsia="Arial" w:hAnsi="Arial" w:cs="Arial"/>
          <w:b/>
          <w:bCs/>
          <w:color w:val="000000" w:themeColor="text1"/>
          <w:sz w:val="24"/>
          <w:szCs w:val="24"/>
        </w:rPr>
        <w:t>Rationale</w:t>
      </w:r>
    </w:p>
    <w:p w14:paraId="5C728009" w14:textId="59EE8EE2" w:rsidR="00EE02D4" w:rsidRDefault="2D4A39AD" w:rsidP="0019719C">
      <w:r w:rsidRPr="0019719C">
        <w:rPr>
          <w:rFonts w:ascii="Arial" w:eastAsia="Arial" w:hAnsi="Arial" w:cs="Arial"/>
          <w:color w:val="000000" w:themeColor="text1"/>
        </w:rPr>
        <w:t xml:space="preserve">The UK’s Open Government Partnership’s (OGP) 2021-2023 National Action Plan (NAP) presents an opportunity to strengthen transparency and accountability on development spending. Official development assistance (ODA) is a core element of a Global Britain and a means for us to promote open societies and democracy around the world. Ensuring information on ODA spending easier to access, understand and use means that taxpayers in donor countries and citizens in developing countries can more easily hold governments to account for using funds wisely. It also enables international development actors to coordinate and plan their activities more effectively.  </w:t>
      </w:r>
    </w:p>
    <w:p w14:paraId="1BB83CDB" w14:textId="54B21B69" w:rsidR="00EE02D4" w:rsidRDefault="2D4A39AD" w:rsidP="0019719C">
      <w:r w:rsidRPr="0019719C">
        <w:rPr>
          <w:rFonts w:ascii="Arial" w:eastAsia="Arial" w:hAnsi="Arial" w:cs="Arial"/>
          <w:color w:val="000000" w:themeColor="text1"/>
        </w:rPr>
        <w:t>The last year has posed a range of challenges to transparency and accountability in the international development sector. We present a set of proposed commitments, in an attempt to constructively engage the UK government on this issue and stand ready to work with them to ensure aid spending is transparent and accountable. Our concerns relate to:</w:t>
      </w:r>
    </w:p>
    <w:p w14:paraId="32CD8286" w14:textId="395029D0" w:rsidR="1618BAD6" w:rsidRPr="00F05CF6" w:rsidRDefault="1618BAD6" w:rsidP="00F05CF6">
      <w:pPr>
        <w:pStyle w:val="ListParagraph"/>
        <w:numPr>
          <w:ilvl w:val="0"/>
          <w:numId w:val="12"/>
        </w:numPr>
        <w:spacing w:after="60"/>
        <w:ind w:left="714" w:hanging="357"/>
        <w:contextualSpacing w:val="0"/>
        <w:rPr>
          <w:rFonts w:ascii="Arial" w:hAnsi="Arial" w:cs="Arial"/>
        </w:rPr>
      </w:pPr>
      <w:r w:rsidRPr="00F05CF6">
        <w:rPr>
          <w:rFonts w:ascii="Arial" w:eastAsia="Arial" w:hAnsi="Arial" w:cs="Arial"/>
          <w:color w:val="000000" w:themeColor="text1"/>
        </w:rPr>
        <w:t xml:space="preserve">Transparency around the aid cuts process has been lacking. The government has released no overall picture of the cuts, refused Freedom of Information requests, and we have seen stonewalling by ministers and officials. Many NGOs are still waiting, a quarter of the way into the financial year, to hear if lifesaving programmes have been cut or not. </w:t>
      </w:r>
    </w:p>
    <w:p w14:paraId="0310859B" w14:textId="6ABB4720" w:rsidR="1618BAD6" w:rsidRPr="00F05CF6" w:rsidRDefault="1618BAD6" w:rsidP="00F05CF6">
      <w:pPr>
        <w:pStyle w:val="ListParagraph"/>
        <w:numPr>
          <w:ilvl w:val="0"/>
          <w:numId w:val="12"/>
        </w:numPr>
        <w:spacing w:after="60"/>
        <w:ind w:left="714" w:hanging="357"/>
        <w:contextualSpacing w:val="0"/>
        <w:rPr>
          <w:rFonts w:ascii="Arial" w:hAnsi="Arial" w:cs="Arial"/>
        </w:rPr>
      </w:pPr>
      <w:r w:rsidRPr="00F05CF6">
        <w:rPr>
          <w:rFonts w:ascii="Arial" w:eastAsia="Arial" w:hAnsi="Arial" w:cs="Arial"/>
          <w:color w:val="000000" w:themeColor="text1"/>
        </w:rPr>
        <w:t>Risks that merger of the Department for International National Development (DFID) and the Foreign and Commonwealth Organisation (FCO) will lead to less transparency overall in UK aid spending, which can be measured using the Aid Transparency index (ATI). Prior to the merger, DFID’s transparency record has been strong. DFID consistently achieved a ‘very good’ score on PWYF’s ATI, while in the last ATI, the FCO achieved a ‘</w:t>
      </w:r>
      <w:hyperlink r:id="rId11">
        <w:r w:rsidR="2D4A39AD" w:rsidRPr="00F05CF6">
          <w:rPr>
            <w:rStyle w:val="Hyperlink"/>
            <w:rFonts w:ascii="Arial" w:eastAsia="Arial" w:hAnsi="Arial" w:cs="Arial"/>
          </w:rPr>
          <w:t>fair</w:t>
        </w:r>
      </w:hyperlink>
      <w:r w:rsidRPr="00F05CF6">
        <w:rPr>
          <w:rFonts w:ascii="Arial" w:eastAsia="Arial" w:hAnsi="Arial" w:cs="Arial"/>
          <w:color w:val="000000" w:themeColor="text1"/>
        </w:rPr>
        <w:t>’.</w:t>
      </w:r>
      <w:r w:rsidRPr="00F05CF6">
        <w:rPr>
          <w:rFonts w:ascii="Arial" w:eastAsia="Arial" w:hAnsi="Arial" w:cs="Arial"/>
          <w:color w:val="000000" w:themeColor="text1"/>
          <w:sz w:val="16"/>
          <w:szCs w:val="16"/>
        </w:rPr>
        <w:t xml:space="preserve"> </w:t>
      </w:r>
      <w:r w:rsidRPr="00F05CF6">
        <w:rPr>
          <w:rFonts w:ascii="Arial" w:eastAsia="Arial" w:hAnsi="Arial" w:cs="Arial"/>
          <w:color w:val="000000" w:themeColor="text1"/>
        </w:rPr>
        <w:t xml:space="preserve"> The Index tracks and measures donors’ progress towards transparency and is the only independent measure of aid transparency among the world’s major development agencies. The department also released annual transparency reports and regularly updated their organisation and project data to the International Aid Transparency Initiative (IATI) standard.</w:t>
      </w:r>
    </w:p>
    <w:p w14:paraId="14B56E01" w14:textId="4A9F6B50" w:rsidR="00B94564" w:rsidRPr="00F05CF6" w:rsidRDefault="1618BAD6" w:rsidP="00F05CF6">
      <w:pPr>
        <w:pStyle w:val="ListParagraph"/>
        <w:numPr>
          <w:ilvl w:val="0"/>
          <w:numId w:val="12"/>
        </w:numPr>
        <w:spacing w:after="60"/>
        <w:ind w:left="714" w:hanging="357"/>
        <w:contextualSpacing w:val="0"/>
        <w:rPr>
          <w:rFonts w:ascii="Arial" w:hAnsi="Arial" w:cs="Arial"/>
        </w:rPr>
      </w:pPr>
      <w:r w:rsidRPr="00F05CF6">
        <w:rPr>
          <w:rFonts w:ascii="Arial" w:eastAsia="Arial" w:hAnsi="Arial" w:cs="Arial"/>
          <w:color w:val="000000" w:themeColor="text1"/>
        </w:rPr>
        <w:t>Limited progresses by the government in acting on Independent Commission for Aid Impact’s (ICAI), which scrutinises UK ODA spending, recommendations in 2019-2020. Their recent</w:t>
      </w:r>
      <w:hyperlink r:id="rId12">
        <w:r w:rsidR="2D4A39AD" w:rsidRPr="00F05CF6">
          <w:rPr>
            <w:rStyle w:val="Hyperlink"/>
            <w:rFonts w:ascii="Arial" w:eastAsia="Arial" w:hAnsi="Arial" w:cs="Arial"/>
          </w:rPr>
          <w:t xml:space="preserve"> follow-up review</w:t>
        </w:r>
      </w:hyperlink>
      <w:r w:rsidR="2D4A39AD" w:rsidRPr="00F05CF6">
        <w:rPr>
          <w:rFonts w:ascii="Arial" w:eastAsia="Arial" w:hAnsi="Arial" w:cs="Arial"/>
          <w:color w:val="000000" w:themeColor="text1"/>
        </w:rPr>
        <w:t xml:space="preserve"> of reports for 2019-2020 has highlighted the ongoing transparency issues.</w:t>
      </w:r>
    </w:p>
    <w:p w14:paraId="595BD9F9" w14:textId="4B9CABB9" w:rsidR="00EE02D4" w:rsidRPr="00C66712" w:rsidRDefault="1618BAD6" w:rsidP="00F05CF6">
      <w:pPr>
        <w:pStyle w:val="ListParagraph"/>
        <w:numPr>
          <w:ilvl w:val="0"/>
          <w:numId w:val="12"/>
        </w:numPr>
        <w:spacing w:after="60"/>
        <w:ind w:left="714" w:hanging="357"/>
        <w:contextualSpacing w:val="0"/>
      </w:pPr>
      <w:r w:rsidRPr="00F05CF6">
        <w:rPr>
          <w:rFonts w:ascii="Arial" w:eastAsia="Arial" w:hAnsi="Arial" w:cs="Arial"/>
          <w:color w:val="000000" w:themeColor="text1"/>
        </w:rPr>
        <w:t xml:space="preserve">There are now </w:t>
      </w:r>
      <w:hyperlink r:id="rId13">
        <w:r w:rsidRPr="00F05CF6">
          <w:rPr>
            <w:rStyle w:val="Hyperlink"/>
            <w:rFonts w:ascii="Arial" w:eastAsia="Arial" w:hAnsi="Arial" w:cs="Arial"/>
          </w:rPr>
          <w:t>12 other government</w:t>
        </w:r>
      </w:hyperlink>
      <w:r w:rsidRPr="00F05CF6">
        <w:rPr>
          <w:rFonts w:ascii="Arial" w:eastAsia="Arial" w:hAnsi="Arial" w:cs="Arial"/>
          <w:color w:val="000000" w:themeColor="text1"/>
        </w:rPr>
        <w:t xml:space="preserve"> departments and contributors involved in spending more 5% or more of UK Official Development Assistance (ODA). Their share of ODA spend had been increasing, whilst their transparency had not always kept pace. In </w:t>
      </w:r>
      <w:r w:rsidRPr="00F05CF6">
        <w:rPr>
          <w:rFonts w:ascii="Arial" w:eastAsia="Arial" w:hAnsi="Arial" w:cs="Arial"/>
          <w:color w:val="000000" w:themeColor="text1"/>
        </w:rPr>
        <w:lastRenderedPageBreak/>
        <w:t xml:space="preserve">particular Department for Work and Pension, Department for Education and Ministry of Defence which scored low on the recent </w:t>
      </w:r>
      <w:hyperlink r:id="rId14">
        <w:r w:rsidRPr="00F05CF6">
          <w:rPr>
            <w:rStyle w:val="Hyperlink"/>
            <w:rFonts w:ascii="Arial" w:eastAsia="Arial" w:hAnsi="Arial" w:cs="Arial"/>
          </w:rPr>
          <w:t>UK Aid Transparency Index</w:t>
        </w:r>
      </w:hyperlink>
      <w:r w:rsidR="2D4A39AD" w:rsidRPr="00F05CF6">
        <w:rPr>
          <w:rFonts w:ascii="Arial" w:eastAsia="Arial" w:hAnsi="Arial" w:cs="Arial"/>
          <w:color w:val="000000" w:themeColor="text1"/>
        </w:rPr>
        <w:t>.</w:t>
      </w:r>
    </w:p>
    <w:p w14:paraId="7B173A0A" w14:textId="77777777" w:rsidR="00C66712" w:rsidRDefault="00C66712" w:rsidP="00C66712">
      <w:pPr>
        <w:pStyle w:val="ListParagraph"/>
        <w:spacing w:after="60"/>
        <w:ind w:left="714"/>
        <w:contextualSpacing w:val="0"/>
      </w:pPr>
    </w:p>
    <w:p w14:paraId="471CBA96" w14:textId="3740C2FC" w:rsidR="00EE02D4" w:rsidRPr="00CE4A9B" w:rsidRDefault="2D4A39AD">
      <w:r w:rsidRPr="00CE4A9B">
        <w:rPr>
          <w:rFonts w:ascii="Arial" w:eastAsia="Arial" w:hAnsi="Arial" w:cs="Arial"/>
          <w:b/>
          <w:bCs/>
          <w:color w:val="000000" w:themeColor="text1"/>
          <w:sz w:val="24"/>
          <w:szCs w:val="24"/>
        </w:rPr>
        <w:t>Proposed commitments for 2021-2023 NAP</w:t>
      </w:r>
    </w:p>
    <w:p w14:paraId="36595869" w14:textId="46067678" w:rsidR="00EE02D4" w:rsidRDefault="2D4A39AD" w:rsidP="00ED203B">
      <w:r w:rsidRPr="00ED203B">
        <w:rPr>
          <w:rFonts w:ascii="Arial" w:eastAsia="Arial" w:hAnsi="Arial" w:cs="Arial"/>
          <w:color w:val="000000" w:themeColor="text1"/>
        </w:rPr>
        <w:t>As such, the TWG believe it is highly pertinent to include commitments on aid transparency and accountability in the 2021-2023 NAP and propose the following commitment.</w:t>
      </w:r>
    </w:p>
    <w:p w14:paraId="312E28E8" w14:textId="465474B8" w:rsidR="00EE02D4" w:rsidRDefault="2D4A39AD" w:rsidP="00ED203B">
      <w:r w:rsidRPr="00ED203B">
        <w:rPr>
          <w:rFonts w:ascii="Arial" w:eastAsia="Arial" w:hAnsi="Arial" w:cs="Arial"/>
          <w:color w:val="000000" w:themeColor="text1"/>
        </w:rPr>
        <w:t>The UK government will demonstrate leadership in transforming the transparency of global development assistance by</w:t>
      </w:r>
      <w:r w:rsidR="1618BAD6" w:rsidRPr="2E76B36E">
        <w:rPr>
          <w:rFonts w:ascii="Arial" w:eastAsia="Arial" w:hAnsi="Arial" w:cs="Arial"/>
          <w:color w:val="000000" w:themeColor="text1"/>
        </w:rPr>
        <w:t xml:space="preserve"> including traditional and no-traditional ODA spending</w:t>
      </w:r>
      <w:r w:rsidRPr="00ED203B">
        <w:rPr>
          <w:rFonts w:ascii="Arial" w:eastAsia="Arial" w:hAnsi="Arial" w:cs="Arial"/>
          <w:color w:val="000000" w:themeColor="text1"/>
        </w:rPr>
        <w:t>:</w:t>
      </w:r>
    </w:p>
    <w:p w14:paraId="51D59B6C" w14:textId="0AC081EB" w:rsidR="1618BAD6" w:rsidRDefault="1618BAD6" w:rsidP="00F05CF6">
      <w:pPr>
        <w:pStyle w:val="ListParagraph"/>
        <w:numPr>
          <w:ilvl w:val="0"/>
          <w:numId w:val="13"/>
        </w:numPr>
        <w:spacing w:after="60"/>
        <w:ind w:hanging="357"/>
        <w:contextualSpacing w:val="0"/>
        <w:rPr>
          <w:rFonts w:eastAsiaTheme="minorEastAsia"/>
          <w:color w:val="000000" w:themeColor="text1"/>
        </w:rPr>
      </w:pPr>
      <w:r w:rsidRPr="2E76B36E">
        <w:rPr>
          <w:rFonts w:ascii="Arial" w:eastAsia="Arial" w:hAnsi="Arial" w:cs="Arial"/>
          <w:color w:val="000000" w:themeColor="text1"/>
        </w:rPr>
        <w:t>Continuing to publish information on official development assistance (ODA) in line with the International Aid Transparency Initiative (IATI) Standard, so that UK assistance can be tracked through the delivery chain; and</w:t>
      </w:r>
    </w:p>
    <w:p w14:paraId="0FB355BC" w14:textId="235242C8" w:rsidR="00B94564" w:rsidRDefault="2D4A39AD" w:rsidP="00F05CF6">
      <w:pPr>
        <w:pStyle w:val="ListParagraph"/>
        <w:numPr>
          <w:ilvl w:val="0"/>
          <w:numId w:val="13"/>
        </w:numPr>
        <w:spacing w:after="60"/>
        <w:ind w:hanging="357"/>
        <w:contextualSpacing w:val="0"/>
        <w:rPr>
          <w:rFonts w:eastAsiaTheme="minorEastAsia"/>
          <w:color w:val="000000" w:themeColor="text1"/>
        </w:rPr>
      </w:pPr>
      <w:r w:rsidRPr="00ED203B">
        <w:rPr>
          <w:rFonts w:ascii="Arial" w:eastAsia="Arial" w:hAnsi="Arial" w:cs="Arial"/>
          <w:color w:val="000000" w:themeColor="text1"/>
        </w:rPr>
        <w:t>Ensuring transparency and accountability in ODA decision making and spend. This would include but is not limited to:</w:t>
      </w:r>
    </w:p>
    <w:p w14:paraId="40AA2CE7" w14:textId="148F0A24" w:rsidR="1618BAD6" w:rsidRDefault="1618BAD6" w:rsidP="00F05CF6">
      <w:pPr>
        <w:pStyle w:val="ListParagraph"/>
        <w:numPr>
          <w:ilvl w:val="0"/>
          <w:numId w:val="14"/>
        </w:numPr>
        <w:spacing w:after="60"/>
        <w:ind w:hanging="357"/>
        <w:contextualSpacing w:val="0"/>
      </w:pPr>
      <w:r w:rsidRPr="000F0463">
        <w:rPr>
          <w:rFonts w:ascii="Arial" w:eastAsia="Arial" w:hAnsi="Arial" w:cs="Arial"/>
          <w:color w:val="000000" w:themeColor="text1"/>
        </w:rPr>
        <w:t>Consultations with development partners on aid budgets</w:t>
      </w:r>
    </w:p>
    <w:p w14:paraId="397C22B5" w14:textId="3B7977C2" w:rsidR="1618BAD6" w:rsidRDefault="000F0463" w:rsidP="00F05CF6">
      <w:pPr>
        <w:pStyle w:val="ListParagraph"/>
        <w:numPr>
          <w:ilvl w:val="0"/>
          <w:numId w:val="14"/>
        </w:numPr>
        <w:spacing w:after="60"/>
        <w:ind w:hanging="357"/>
        <w:contextualSpacing w:val="0"/>
      </w:pPr>
      <w:r w:rsidRPr="000F0463">
        <w:rPr>
          <w:rFonts w:ascii="Arial" w:eastAsia="Arial" w:hAnsi="Arial" w:cs="Arial"/>
          <w:color w:val="000000" w:themeColor="text1"/>
        </w:rPr>
        <w:t>P</w:t>
      </w:r>
      <w:r w:rsidR="1618BAD6" w:rsidRPr="000F0463">
        <w:rPr>
          <w:rFonts w:ascii="Arial" w:eastAsia="Arial" w:hAnsi="Arial" w:cs="Arial"/>
          <w:color w:val="000000" w:themeColor="text1"/>
        </w:rPr>
        <w:t>ublishing future budgets using predefined categories in accessible formats– particularly when amendments happen</w:t>
      </w:r>
    </w:p>
    <w:p w14:paraId="36D59B32" w14:textId="3DF41542" w:rsidR="1618BAD6" w:rsidRDefault="1618BAD6" w:rsidP="00F05CF6">
      <w:pPr>
        <w:pStyle w:val="ListParagraph"/>
        <w:numPr>
          <w:ilvl w:val="0"/>
          <w:numId w:val="14"/>
        </w:numPr>
        <w:spacing w:after="60"/>
        <w:ind w:hanging="357"/>
        <w:contextualSpacing w:val="0"/>
      </w:pPr>
      <w:r w:rsidRPr="000F0463">
        <w:rPr>
          <w:rFonts w:ascii="Arial" w:eastAsia="Arial" w:hAnsi="Arial" w:cs="Arial"/>
          <w:color w:val="000000" w:themeColor="text1"/>
        </w:rPr>
        <w:t xml:space="preserve">Accountability for 2020 and 2021 aid cuts as well as future strategic decisions, including info on countries, sectors and projects by publishing full details </w:t>
      </w:r>
    </w:p>
    <w:p w14:paraId="1F5C1FD3" w14:textId="57E05F44" w:rsidR="1618BAD6" w:rsidRDefault="1618BAD6" w:rsidP="00F05CF6">
      <w:pPr>
        <w:pStyle w:val="ListParagraph"/>
        <w:numPr>
          <w:ilvl w:val="0"/>
          <w:numId w:val="14"/>
        </w:numPr>
        <w:spacing w:after="60"/>
        <w:ind w:hanging="357"/>
        <w:contextualSpacing w:val="0"/>
      </w:pPr>
      <w:r w:rsidRPr="000F0463">
        <w:rPr>
          <w:rFonts w:ascii="Arial" w:eastAsia="Arial" w:hAnsi="Arial" w:cs="Arial"/>
          <w:color w:val="000000" w:themeColor="text1"/>
        </w:rPr>
        <w:t>Rebuilding trust with development partners through strong transparency</w:t>
      </w:r>
      <w:r w:rsidRPr="000F0463">
        <w:rPr>
          <w:rFonts w:ascii="Arial" w:eastAsia="Arial" w:hAnsi="Arial" w:cs="Arial"/>
          <w:color w:val="000000" w:themeColor="text1"/>
          <w:sz w:val="14"/>
          <w:szCs w:val="14"/>
        </w:rPr>
        <w:t xml:space="preserve"> </w:t>
      </w:r>
    </w:p>
    <w:p w14:paraId="46231199" w14:textId="0F61BA92" w:rsidR="00EE02D4" w:rsidRPr="000F0463" w:rsidRDefault="1618BAD6" w:rsidP="00F05CF6">
      <w:pPr>
        <w:pStyle w:val="ListParagraph"/>
        <w:numPr>
          <w:ilvl w:val="0"/>
          <w:numId w:val="13"/>
        </w:numPr>
        <w:spacing w:after="60"/>
        <w:ind w:hanging="357"/>
        <w:contextualSpacing w:val="0"/>
        <w:rPr>
          <w:rFonts w:eastAsiaTheme="minorEastAsia"/>
          <w:color w:val="000000" w:themeColor="text1"/>
        </w:rPr>
      </w:pPr>
      <w:r w:rsidRPr="000F0463">
        <w:rPr>
          <w:rFonts w:ascii="Arial" w:eastAsia="Arial" w:hAnsi="Arial" w:cs="Arial"/>
          <w:color w:val="000000" w:themeColor="text1"/>
        </w:rPr>
        <w:t>Adopting and publishing</w:t>
      </w:r>
      <w:r w:rsidR="2D4A39AD" w:rsidRPr="000F0463">
        <w:rPr>
          <w:rFonts w:ascii="Arial" w:eastAsia="Arial" w:hAnsi="Arial" w:cs="Arial"/>
          <w:color w:val="000000" w:themeColor="text1"/>
        </w:rPr>
        <w:t xml:space="preserve"> a meaningful, inclusive and deliberative approach to ensure effective engagement with civil society. This requires being open and accountable, ensuring participants are kept informed; and creating a well-structured and consistent process.</w:t>
      </w:r>
    </w:p>
    <w:p w14:paraId="4B33B7AB" w14:textId="06DAC1E6" w:rsidR="00EE02D4" w:rsidRDefault="2D4A39AD" w:rsidP="00ED203B">
      <w:r w:rsidRPr="00ED203B">
        <w:rPr>
          <w:rFonts w:ascii="Arial" w:eastAsia="Arial" w:hAnsi="Arial" w:cs="Arial"/>
          <w:color w:val="000000" w:themeColor="text1"/>
        </w:rPr>
        <w:t>Progress on these will be measured by:</w:t>
      </w:r>
    </w:p>
    <w:p w14:paraId="3C1AAAD4" w14:textId="32FA5CBD" w:rsidR="00EE02D4" w:rsidRDefault="2D4A39AD" w:rsidP="00F05CF6">
      <w:pPr>
        <w:pStyle w:val="ListParagraph"/>
        <w:numPr>
          <w:ilvl w:val="0"/>
          <w:numId w:val="8"/>
        </w:numPr>
        <w:spacing w:after="60"/>
        <w:ind w:left="714" w:hanging="357"/>
        <w:contextualSpacing w:val="0"/>
        <w:rPr>
          <w:rFonts w:eastAsiaTheme="minorEastAsia"/>
          <w:color w:val="000000" w:themeColor="text1"/>
        </w:rPr>
      </w:pPr>
      <w:r w:rsidRPr="00ED203B">
        <w:rPr>
          <w:rFonts w:ascii="Arial" w:eastAsia="Arial" w:hAnsi="Arial" w:cs="Arial"/>
          <w:color w:val="000000" w:themeColor="text1"/>
        </w:rPr>
        <w:t xml:space="preserve">Increased rating on the ATI index. Each government department should adopt the previous aid strategy commitment for all UK ODA-spending departments to </w:t>
      </w:r>
      <w:r w:rsidR="1618BAD6" w:rsidRPr="2E76B36E">
        <w:rPr>
          <w:rFonts w:ascii="Arial" w:eastAsia="Arial" w:hAnsi="Arial" w:cs="Arial"/>
          <w:color w:val="000000" w:themeColor="text1"/>
        </w:rPr>
        <w:t>achieve a ‘good’ or ‘very good’ UK Aid Transparency Index rating by 2022.</w:t>
      </w:r>
    </w:p>
    <w:p w14:paraId="0BAF2972" w14:textId="76A4EB84" w:rsidR="1618BAD6" w:rsidRDefault="1618BAD6" w:rsidP="00F05CF6">
      <w:pPr>
        <w:pStyle w:val="ListParagraph"/>
        <w:numPr>
          <w:ilvl w:val="0"/>
          <w:numId w:val="8"/>
        </w:numPr>
        <w:spacing w:after="60"/>
        <w:ind w:left="714" w:hanging="357"/>
        <w:contextualSpacing w:val="0"/>
        <w:rPr>
          <w:rFonts w:eastAsiaTheme="minorEastAsia"/>
          <w:color w:val="000000" w:themeColor="text1"/>
        </w:rPr>
      </w:pPr>
      <w:r w:rsidRPr="2E76B36E">
        <w:rPr>
          <w:rFonts w:ascii="Arial" w:eastAsia="Arial" w:hAnsi="Arial" w:cs="Arial"/>
          <w:color w:val="000000" w:themeColor="text1"/>
        </w:rPr>
        <w:t>Increased rating in ICAI follow up reviews. In the 2022, follow-up  the FCDO receives an adequate score, demonstrating “enough progress has been made in the right areas and in a sufficiently timely manner in order to address the core concerns underpinning ICAI’s recommendations”.</w:t>
      </w:r>
      <w:r w:rsidR="000F0463">
        <w:rPr>
          <w:rStyle w:val="FootnoteReference"/>
          <w:rFonts w:ascii="Arial" w:eastAsia="Arial" w:hAnsi="Arial" w:cs="Arial"/>
          <w:color w:val="000000" w:themeColor="text1"/>
        </w:rPr>
        <w:footnoteReference w:id="2"/>
      </w:r>
      <w:r w:rsidR="000F0463">
        <w:rPr>
          <w:rFonts w:eastAsiaTheme="minorEastAsia"/>
          <w:color w:val="000000" w:themeColor="text1"/>
        </w:rPr>
        <w:t xml:space="preserve"> </w:t>
      </w:r>
    </w:p>
    <w:p w14:paraId="551E4F68" w14:textId="6B3580C5" w:rsidR="00EE02D4" w:rsidRDefault="2D4A39AD" w:rsidP="00F05CF6">
      <w:pPr>
        <w:pStyle w:val="ListParagraph"/>
        <w:numPr>
          <w:ilvl w:val="0"/>
          <w:numId w:val="8"/>
        </w:numPr>
        <w:spacing w:after="60"/>
        <w:ind w:left="714" w:hanging="357"/>
        <w:contextualSpacing w:val="0"/>
        <w:rPr>
          <w:rFonts w:eastAsiaTheme="minorEastAsia"/>
          <w:color w:val="000000" w:themeColor="text1"/>
        </w:rPr>
      </w:pPr>
      <w:r w:rsidRPr="00ED203B">
        <w:rPr>
          <w:rFonts w:ascii="Arial" w:eastAsia="Arial" w:hAnsi="Arial" w:cs="Arial"/>
          <w:color w:val="000000" w:themeColor="text1"/>
        </w:rPr>
        <w:t>Recommencing annual progress reports towards the ‘Open Aid, Open Societies’ 2018 Transparency Agenda.</w:t>
      </w:r>
    </w:p>
    <w:p w14:paraId="014E5856" w14:textId="36636583" w:rsidR="1618BAD6" w:rsidRDefault="2D4A39AD" w:rsidP="00F05CF6">
      <w:pPr>
        <w:pStyle w:val="ListParagraph"/>
        <w:numPr>
          <w:ilvl w:val="0"/>
          <w:numId w:val="8"/>
        </w:numPr>
        <w:spacing w:after="60"/>
        <w:ind w:left="714" w:hanging="357"/>
        <w:contextualSpacing w:val="0"/>
        <w:rPr>
          <w:rFonts w:eastAsiaTheme="minorEastAsia"/>
          <w:color w:val="3C4043"/>
        </w:rPr>
      </w:pPr>
      <w:r w:rsidRPr="00ED203B">
        <w:rPr>
          <w:rFonts w:ascii="Arial" w:eastAsia="Arial" w:hAnsi="Arial" w:cs="Arial"/>
          <w:color w:val="3C4043"/>
        </w:rPr>
        <w:t>Timely publication of Government departments’ IATI data on activities, including the total committed funding figure for each activity; reflecting budget changes.</w:t>
      </w:r>
    </w:p>
    <w:p w14:paraId="5E03A716" w14:textId="5CA6879E" w:rsidR="00EE02D4" w:rsidRDefault="1618BAD6" w:rsidP="2E76B36E">
      <w:r>
        <w:br/>
      </w:r>
    </w:p>
    <w:sectPr w:rsidR="00EE02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6E582" w14:textId="77777777" w:rsidR="003D5F00" w:rsidRDefault="003D5F00" w:rsidP="00ED203B">
      <w:pPr>
        <w:spacing w:after="0" w:line="240" w:lineRule="auto"/>
      </w:pPr>
      <w:r>
        <w:separator/>
      </w:r>
    </w:p>
  </w:endnote>
  <w:endnote w:type="continuationSeparator" w:id="0">
    <w:p w14:paraId="4A8F8A80" w14:textId="77777777" w:rsidR="003D5F00" w:rsidRDefault="003D5F00" w:rsidP="00ED203B">
      <w:pPr>
        <w:spacing w:after="0" w:line="240" w:lineRule="auto"/>
      </w:pPr>
      <w:r>
        <w:continuationSeparator/>
      </w:r>
    </w:p>
  </w:endnote>
  <w:endnote w:type="continuationNotice" w:id="1">
    <w:p w14:paraId="338D1A3B" w14:textId="77777777" w:rsidR="003D5F00" w:rsidRDefault="003D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BB440" w14:textId="77777777" w:rsidR="003D5F00" w:rsidRDefault="003D5F00" w:rsidP="00ED203B">
      <w:pPr>
        <w:spacing w:after="0" w:line="240" w:lineRule="auto"/>
      </w:pPr>
      <w:r>
        <w:separator/>
      </w:r>
    </w:p>
  </w:footnote>
  <w:footnote w:type="continuationSeparator" w:id="0">
    <w:p w14:paraId="1A3F0139" w14:textId="77777777" w:rsidR="003D5F00" w:rsidRDefault="003D5F00" w:rsidP="00ED203B">
      <w:pPr>
        <w:spacing w:after="0" w:line="240" w:lineRule="auto"/>
      </w:pPr>
      <w:r>
        <w:continuationSeparator/>
      </w:r>
    </w:p>
  </w:footnote>
  <w:footnote w:type="continuationNotice" w:id="1">
    <w:p w14:paraId="798A10D8" w14:textId="77777777" w:rsidR="003D5F00" w:rsidRDefault="003D5F00">
      <w:pPr>
        <w:spacing w:after="0" w:line="240" w:lineRule="auto"/>
      </w:pPr>
    </w:p>
  </w:footnote>
  <w:footnote w:id="2">
    <w:p w14:paraId="44D79A58" w14:textId="3DD0C765" w:rsidR="000F0463" w:rsidRPr="000F0463" w:rsidRDefault="000F0463">
      <w:pPr>
        <w:pStyle w:val="FootnoteText"/>
        <w:rPr>
          <w:rFonts w:ascii="Arial" w:hAnsi="Arial" w:cs="Arial"/>
          <w:sz w:val="18"/>
          <w:szCs w:val="18"/>
        </w:rPr>
      </w:pPr>
      <w:r w:rsidRPr="000F0463">
        <w:rPr>
          <w:rStyle w:val="FootnoteReference"/>
          <w:rFonts w:ascii="Arial" w:hAnsi="Arial" w:cs="Arial"/>
          <w:sz w:val="18"/>
          <w:szCs w:val="18"/>
        </w:rPr>
        <w:footnoteRef/>
      </w:r>
      <w:r w:rsidRPr="000F0463">
        <w:rPr>
          <w:rFonts w:ascii="Arial" w:hAnsi="Arial" w:cs="Arial"/>
          <w:sz w:val="18"/>
          <w:szCs w:val="18"/>
        </w:rPr>
        <w:t xml:space="preserve"> </w:t>
      </w:r>
      <w:r w:rsidRPr="000F0463">
        <w:rPr>
          <w:rFonts w:ascii="Arial" w:eastAsia="Arial" w:hAnsi="Arial" w:cs="Arial"/>
          <w:color w:val="000000" w:themeColor="text1"/>
          <w:sz w:val="18"/>
          <w:szCs w:val="18"/>
        </w:rPr>
        <w:t xml:space="preserve">ICAI (June 2021). </w:t>
      </w:r>
      <w:r w:rsidRPr="000F0463">
        <w:rPr>
          <w:rFonts w:ascii="Arial" w:eastAsia="Arial" w:hAnsi="Arial" w:cs="Arial"/>
          <w:i/>
          <w:iCs/>
          <w:color w:val="000000" w:themeColor="text1"/>
          <w:sz w:val="18"/>
          <w:szCs w:val="18"/>
        </w:rPr>
        <w:t>ICAI follow-up review of 2019-2020 reports.</w:t>
      </w:r>
      <w:r w:rsidRPr="000F0463">
        <w:rPr>
          <w:rFonts w:ascii="Arial" w:eastAsia="Arial" w:hAnsi="Arial" w:cs="Arial"/>
          <w:color w:val="000000" w:themeColor="text1"/>
          <w:sz w:val="18"/>
          <w:szCs w:val="18"/>
        </w:rPr>
        <w:t xml:space="preserve"> Available:</w:t>
      </w:r>
      <w:hyperlink r:id="rId1">
        <w:r w:rsidRPr="000F0463">
          <w:rPr>
            <w:rStyle w:val="Hyperlink"/>
            <w:rFonts w:ascii="Arial" w:eastAsia="Arial" w:hAnsi="Arial" w:cs="Arial"/>
            <w:sz w:val="18"/>
            <w:szCs w:val="18"/>
          </w:rPr>
          <w:t xml:space="preserve"> https://icai.independent.gov.uk/wp-content/uploads/ICAI-follow-up-2019-20-reviews.pdf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36E"/>
    <w:multiLevelType w:val="hybridMultilevel"/>
    <w:tmpl w:val="9A2ABB56"/>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CA6"/>
    <w:multiLevelType w:val="hybridMultilevel"/>
    <w:tmpl w:val="0A2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34400"/>
    <w:multiLevelType w:val="hybridMultilevel"/>
    <w:tmpl w:val="F7F6630C"/>
    <w:lvl w:ilvl="0" w:tplc="45F8CA6A">
      <w:start w:val="1"/>
      <w:numFmt w:val="decimal"/>
      <w:lvlText w:val="%1."/>
      <w:lvlJc w:val="left"/>
      <w:pPr>
        <w:ind w:left="720" w:hanging="360"/>
      </w:pPr>
    </w:lvl>
    <w:lvl w:ilvl="1" w:tplc="FBC42194">
      <w:start w:val="1"/>
      <w:numFmt w:val="lowerLetter"/>
      <w:lvlText w:val="%2."/>
      <w:lvlJc w:val="left"/>
      <w:pPr>
        <w:ind w:left="1440" w:hanging="360"/>
      </w:pPr>
    </w:lvl>
    <w:lvl w:ilvl="2" w:tplc="A2D69C4C">
      <w:start w:val="1"/>
      <w:numFmt w:val="lowerRoman"/>
      <w:lvlText w:val="%3."/>
      <w:lvlJc w:val="right"/>
      <w:pPr>
        <w:ind w:left="2160" w:hanging="180"/>
      </w:pPr>
    </w:lvl>
    <w:lvl w:ilvl="3" w:tplc="BCE65DD8">
      <w:start w:val="1"/>
      <w:numFmt w:val="decimal"/>
      <w:lvlText w:val="%4."/>
      <w:lvlJc w:val="left"/>
      <w:pPr>
        <w:ind w:left="2880" w:hanging="360"/>
      </w:pPr>
    </w:lvl>
    <w:lvl w:ilvl="4" w:tplc="C32C1B18">
      <w:start w:val="1"/>
      <w:numFmt w:val="lowerLetter"/>
      <w:lvlText w:val="%5."/>
      <w:lvlJc w:val="left"/>
      <w:pPr>
        <w:ind w:left="3600" w:hanging="360"/>
      </w:pPr>
    </w:lvl>
    <w:lvl w:ilvl="5" w:tplc="E2068664">
      <w:start w:val="1"/>
      <w:numFmt w:val="lowerRoman"/>
      <w:lvlText w:val="%6."/>
      <w:lvlJc w:val="right"/>
      <w:pPr>
        <w:ind w:left="4320" w:hanging="180"/>
      </w:pPr>
    </w:lvl>
    <w:lvl w:ilvl="6" w:tplc="36782B78">
      <w:start w:val="1"/>
      <w:numFmt w:val="decimal"/>
      <w:lvlText w:val="%7."/>
      <w:lvlJc w:val="left"/>
      <w:pPr>
        <w:ind w:left="5040" w:hanging="360"/>
      </w:pPr>
    </w:lvl>
    <w:lvl w:ilvl="7" w:tplc="29D42A34">
      <w:start w:val="1"/>
      <w:numFmt w:val="lowerLetter"/>
      <w:lvlText w:val="%8."/>
      <w:lvlJc w:val="left"/>
      <w:pPr>
        <w:ind w:left="5760" w:hanging="360"/>
      </w:pPr>
    </w:lvl>
    <w:lvl w:ilvl="8" w:tplc="8190F192">
      <w:start w:val="1"/>
      <w:numFmt w:val="lowerRoman"/>
      <w:lvlText w:val="%9."/>
      <w:lvlJc w:val="right"/>
      <w:pPr>
        <w:ind w:left="6480" w:hanging="180"/>
      </w:pPr>
    </w:lvl>
  </w:abstractNum>
  <w:abstractNum w:abstractNumId="3" w15:restartNumberingAfterBreak="0">
    <w:nsid w:val="1E5D09D0"/>
    <w:multiLevelType w:val="hybridMultilevel"/>
    <w:tmpl w:val="FFFFFFFF"/>
    <w:lvl w:ilvl="0" w:tplc="471A0E94">
      <w:start w:val="1"/>
      <w:numFmt w:val="bullet"/>
      <w:lvlText w:val=""/>
      <w:lvlJc w:val="left"/>
      <w:pPr>
        <w:ind w:left="720" w:hanging="360"/>
      </w:pPr>
      <w:rPr>
        <w:rFonts w:ascii="Symbol" w:hAnsi="Symbol" w:hint="default"/>
      </w:rPr>
    </w:lvl>
    <w:lvl w:ilvl="1" w:tplc="9B76AF40">
      <w:start w:val="1"/>
      <w:numFmt w:val="bullet"/>
      <w:lvlText w:val="o"/>
      <w:lvlJc w:val="left"/>
      <w:pPr>
        <w:ind w:left="1440" w:hanging="360"/>
      </w:pPr>
      <w:rPr>
        <w:rFonts w:ascii="Courier New" w:hAnsi="Courier New" w:hint="default"/>
      </w:rPr>
    </w:lvl>
    <w:lvl w:ilvl="2" w:tplc="CE680FAA">
      <w:start w:val="1"/>
      <w:numFmt w:val="bullet"/>
      <w:lvlText w:val=""/>
      <w:lvlJc w:val="left"/>
      <w:pPr>
        <w:ind w:left="2160" w:hanging="360"/>
      </w:pPr>
      <w:rPr>
        <w:rFonts w:ascii="Wingdings" w:hAnsi="Wingdings" w:hint="default"/>
      </w:rPr>
    </w:lvl>
    <w:lvl w:ilvl="3" w:tplc="30129C1A">
      <w:start w:val="1"/>
      <w:numFmt w:val="bullet"/>
      <w:lvlText w:val=""/>
      <w:lvlJc w:val="left"/>
      <w:pPr>
        <w:ind w:left="2880" w:hanging="360"/>
      </w:pPr>
      <w:rPr>
        <w:rFonts w:ascii="Symbol" w:hAnsi="Symbol" w:hint="default"/>
      </w:rPr>
    </w:lvl>
    <w:lvl w:ilvl="4" w:tplc="2C3666C6">
      <w:start w:val="1"/>
      <w:numFmt w:val="bullet"/>
      <w:lvlText w:val="o"/>
      <w:lvlJc w:val="left"/>
      <w:pPr>
        <w:ind w:left="3600" w:hanging="360"/>
      </w:pPr>
      <w:rPr>
        <w:rFonts w:ascii="Courier New" w:hAnsi="Courier New" w:hint="default"/>
      </w:rPr>
    </w:lvl>
    <w:lvl w:ilvl="5" w:tplc="4712D47E">
      <w:start w:val="1"/>
      <w:numFmt w:val="bullet"/>
      <w:lvlText w:val=""/>
      <w:lvlJc w:val="left"/>
      <w:pPr>
        <w:ind w:left="4320" w:hanging="360"/>
      </w:pPr>
      <w:rPr>
        <w:rFonts w:ascii="Wingdings" w:hAnsi="Wingdings" w:hint="default"/>
      </w:rPr>
    </w:lvl>
    <w:lvl w:ilvl="6" w:tplc="639A75E6">
      <w:start w:val="1"/>
      <w:numFmt w:val="bullet"/>
      <w:lvlText w:val=""/>
      <w:lvlJc w:val="left"/>
      <w:pPr>
        <w:ind w:left="5040" w:hanging="360"/>
      </w:pPr>
      <w:rPr>
        <w:rFonts w:ascii="Symbol" w:hAnsi="Symbol" w:hint="default"/>
      </w:rPr>
    </w:lvl>
    <w:lvl w:ilvl="7" w:tplc="89A06516">
      <w:start w:val="1"/>
      <w:numFmt w:val="bullet"/>
      <w:lvlText w:val="o"/>
      <w:lvlJc w:val="left"/>
      <w:pPr>
        <w:ind w:left="5760" w:hanging="360"/>
      </w:pPr>
      <w:rPr>
        <w:rFonts w:ascii="Courier New" w:hAnsi="Courier New" w:hint="default"/>
      </w:rPr>
    </w:lvl>
    <w:lvl w:ilvl="8" w:tplc="58122BD4">
      <w:start w:val="1"/>
      <w:numFmt w:val="bullet"/>
      <w:lvlText w:val=""/>
      <w:lvlJc w:val="left"/>
      <w:pPr>
        <w:ind w:left="6480" w:hanging="360"/>
      </w:pPr>
      <w:rPr>
        <w:rFonts w:ascii="Wingdings" w:hAnsi="Wingdings" w:hint="default"/>
      </w:rPr>
    </w:lvl>
  </w:abstractNum>
  <w:abstractNum w:abstractNumId="4" w15:restartNumberingAfterBreak="0">
    <w:nsid w:val="32326F6A"/>
    <w:multiLevelType w:val="hybridMultilevel"/>
    <w:tmpl w:val="23D4E4C6"/>
    <w:lvl w:ilvl="0" w:tplc="2F6CB2C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05268"/>
    <w:multiLevelType w:val="hybridMultilevel"/>
    <w:tmpl w:val="4FCE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F6A3A"/>
    <w:multiLevelType w:val="hybridMultilevel"/>
    <w:tmpl w:val="120CD096"/>
    <w:lvl w:ilvl="0" w:tplc="A416550A">
      <w:start w:val="1"/>
      <w:numFmt w:val="bullet"/>
      <w:lvlText w:val=""/>
      <w:lvlJc w:val="left"/>
      <w:pPr>
        <w:ind w:left="720" w:hanging="360"/>
      </w:pPr>
      <w:rPr>
        <w:rFonts w:ascii="Symbol" w:hAnsi="Symbol" w:hint="default"/>
      </w:rPr>
    </w:lvl>
    <w:lvl w:ilvl="1" w:tplc="DB806E16">
      <w:start w:val="1"/>
      <w:numFmt w:val="bullet"/>
      <w:lvlText w:val="o"/>
      <w:lvlJc w:val="left"/>
      <w:pPr>
        <w:ind w:left="1440" w:hanging="360"/>
      </w:pPr>
      <w:rPr>
        <w:rFonts w:ascii="Courier New" w:hAnsi="Courier New" w:hint="default"/>
      </w:rPr>
    </w:lvl>
    <w:lvl w:ilvl="2" w:tplc="A9B4DEBC">
      <w:start w:val="1"/>
      <w:numFmt w:val="bullet"/>
      <w:lvlText w:val=""/>
      <w:lvlJc w:val="left"/>
      <w:pPr>
        <w:ind w:left="2160" w:hanging="360"/>
      </w:pPr>
      <w:rPr>
        <w:rFonts w:ascii="Wingdings" w:hAnsi="Wingdings" w:hint="default"/>
      </w:rPr>
    </w:lvl>
    <w:lvl w:ilvl="3" w:tplc="71AEB520">
      <w:start w:val="1"/>
      <w:numFmt w:val="bullet"/>
      <w:lvlText w:val=""/>
      <w:lvlJc w:val="left"/>
      <w:pPr>
        <w:ind w:left="2880" w:hanging="360"/>
      </w:pPr>
      <w:rPr>
        <w:rFonts w:ascii="Symbol" w:hAnsi="Symbol" w:hint="default"/>
      </w:rPr>
    </w:lvl>
    <w:lvl w:ilvl="4" w:tplc="201E81B4">
      <w:start w:val="1"/>
      <w:numFmt w:val="bullet"/>
      <w:lvlText w:val="o"/>
      <w:lvlJc w:val="left"/>
      <w:pPr>
        <w:ind w:left="3600" w:hanging="360"/>
      </w:pPr>
      <w:rPr>
        <w:rFonts w:ascii="Courier New" w:hAnsi="Courier New" w:hint="default"/>
      </w:rPr>
    </w:lvl>
    <w:lvl w:ilvl="5" w:tplc="7A8475D8">
      <w:start w:val="1"/>
      <w:numFmt w:val="bullet"/>
      <w:lvlText w:val=""/>
      <w:lvlJc w:val="left"/>
      <w:pPr>
        <w:ind w:left="4320" w:hanging="360"/>
      </w:pPr>
      <w:rPr>
        <w:rFonts w:ascii="Wingdings" w:hAnsi="Wingdings" w:hint="default"/>
      </w:rPr>
    </w:lvl>
    <w:lvl w:ilvl="6" w:tplc="4AF05DC4">
      <w:start w:val="1"/>
      <w:numFmt w:val="bullet"/>
      <w:lvlText w:val=""/>
      <w:lvlJc w:val="left"/>
      <w:pPr>
        <w:ind w:left="5040" w:hanging="360"/>
      </w:pPr>
      <w:rPr>
        <w:rFonts w:ascii="Symbol" w:hAnsi="Symbol" w:hint="default"/>
      </w:rPr>
    </w:lvl>
    <w:lvl w:ilvl="7" w:tplc="80B40CC8">
      <w:start w:val="1"/>
      <w:numFmt w:val="bullet"/>
      <w:lvlText w:val="o"/>
      <w:lvlJc w:val="left"/>
      <w:pPr>
        <w:ind w:left="5760" w:hanging="360"/>
      </w:pPr>
      <w:rPr>
        <w:rFonts w:ascii="Courier New" w:hAnsi="Courier New" w:hint="default"/>
      </w:rPr>
    </w:lvl>
    <w:lvl w:ilvl="8" w:tplc="B7640D3A">
      <w:start w:val="1"/>
      <w:numFmt w:val="bullet"/>
      <w:lvlText w:val=""/>
      <w:lvlJc w:val="left"/>
      <w:pPr>
        <w:ind w:left="6480" w:hanging="360"/>
      </w:pPr>
      <w:rPr>
        <w:rFonts w:ascii="Wingdings" w:hAnsi="Wingdings" w:hint="default"/>
      </w:rPr>
    </w:lvl>
  </w:abstractNum>
  <w:abstractNum w:abstractNumId="7" w15:restartNumberingAfterBreak="0">
    <w:nsid w:val="4FE70D56"/>
    <w:multiLevelType w:val="hybridMultilevel"/>
    <w:tmpl w:val="FFFFFFFF"/>
    <w:lvl w:ilvl="0" w:tplc="8438B892">
      <w:start w:val="1"/>
      <w:numFmt w:val="bullet"/>
      <w:lvlText w:val=""/>
      <w:lvlJc w:val="left"/>
      <w:pPr>
        <w:ind w:left="720" w:hanging="360"/>
      </w:pPr>
      <w:rPr>
        <w:rFonts w:ascii="Symbol" w:hAnsi="Symbol" w:hint="default"/>
      </w:rPr>
    </w:lvl>
    <w:lvl w:ilvl="1" w:tplc="59523746">
      <w:start w:val="1"/>
      <w:numFmt w:val="bullet"/>
      <w:lvlText w:val="o"/>
      <w:lvlJc w:val="left"/>
      <w:pPr>
        <w:ind w:left="1440" w:hanging="360"/>
      </w:pPr>
      <w:rPr>
        <w:rFonts w:ascii="Courier New" w:hAnsi="Courier New" w:hint="default"/>
      </w:rPr>
    </w:lvl>
    <w:lvl w:ilvl="2" w:tplc="068C8910">
      <w:start w:val="1"/>
      <w:numFmt w:val="bullet"/>
      <w:lvlText w:val=""/>
      <w:lvlJc w:val="left"/>
      <w:pPr>
        <w:ind w:left="2160" w:hanging="360"/>
      </w:pPr>
      <w:rPr>
        <w:rFonts w:ascii="Wingdings" w:hAnsi="Wingdings" w:hint="default"/>
      </w:rPr>
    </w:lvl>
    <w:lvl w:ilvl="3" w:tplc="B57CFB1E">
      <w:start w:val="1"/>
      <w:numFmt w:val="bullet"/>
      <w:lvlText w:val=""/>
      <w:lvlJc w:val="left"/>
      <w:pPr>
        <w:ind w:left="2880" w:hanging="360"/>
      </w:pPr>
      <w:rPr>
        <w:rFonts w:ascii="Symbol" w:hAnsi="Symbol" w:hint="default"/>
      </w:rPr>
    </w:lvl>
    <w:lvl w:ilvl="4" w:tplc="5B74C504">
      <w:start w:val="1"/>
      <w:numFmt w:val="bullet"/>
      <w:lvlText w:val="o"/>
      <w:lvlJc w:val="left"/>
      <w:pPr>
        <w:ind w:left="3600" w:hanging="360"/>
      </w:pPr>
      <w:rPr>
        <w:rFonts w:ascii="Courier New" w:hAnsi="Courier New" w:hint="default"/>
      </w:rPr>
    </w:lvl>
    <w:lvl w:ilvl="5" w:tplc="DB501542">
      <w:start w:val="1"/>
      <w:numFmt w:val="bullet"/>
      <w:lvlText w:val=""/>
      <w:lvlJc w:val="left"/>
      <w:pPr>
        <w:ind w:left="4320" w:hanging="360"/>
      </w:pPr>
      <w:rPr>
        <w:rFonts w:ascii="Wingdings" w:hAnsi="Wingdings" w:hint="default"/>
      </w:rPr>
    </w:lvl>
    <w:lvl w:ilvl="6" w:tplc="F8C41036">
      <w:start w:val="1"/>
      <w:numFmt w:val="bullet"/>
      <w:lvlText w:val=""/>
      <w:lvlJc w:val="left"/>
      <w:pPr>
        <w:ind w:left="5040" w:hanging="360"/>
      </w:pPr>
      <w:rPr>
        <w:rFonts w:ascii="Symbol" w:hAnsi="Symbol" w:hint="default"/>
      </w:rPr>
    </w:lvl>
    <w:lvl w:ilvl="7" w:tplc="2B70F084">
      <w:start w:val="1"/>
      <w:numFmt w:val="bullet"/>
      <w:lvlText w:val="o"/>
      <w:lvlJc w:val="left"/>
      <w:pPr>
        <w:ind w:left="5760" w:hanging="360"/>
      </w:pPr>
      <w:rPr>
        <w:rFonts w:ascii="Courier New" w:hAnsi="Courier New" w:hint="default"/>
      </w:rPr>
    </w:lvl>
    <w:lvl w:ilvl="8" w:tplc="C01EDF72">
      <w:start w:val="1"/>
      <w:numFmt w:val="bullet"/>
      <w:lvlText w:val=""/>
      <w:lvlJc w:val="left"/>
      <w:pPr>
        <w:ind w:left="6480" w:hanging="360"/>
      </w:pPr>
      <w:rPr>
        <w:rFonts w:ascii="Wingdings" w:hAnsi="Wingdings" w:hint="default"/>
      </w:rPr>
    </w:lvl>
  </w:abstractNum>
  <w:abstractNum w:abstractNumId="8" w15:restartNumberingAfterBreak="0">
    <w:nsid w:val="53604418"/>
    <w:multiLevelType w:val="hybridMultilevel"/>
    <w:tmpl w:val="5B702C56"/>
    <w:lvl w:ilvl="0" w:tplc="77F44D3C">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26394"/>
    <w:multiLevelType w:val="hybridMultilevel"/>
    <w:tmpl w:val="BB5C4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9523A1"/>
    <w:multiLevelType w:val="hybridMultilevel"/>
    <w:tmpl w:val="3022DCE6"/>
    <w:lvl w:ilvl="0" w:tplc="F3188100">
      <w:start w:val="1"/>
      <w:numFmt w:val="decimal"/>
      <w:lvlText w:val="%1."/>
      <w:lvlJc w:val="left"/>
      <w:pPr>
        <w:ind w:left="720" w:hanging="360"/>
      </w:pPr>
    </w:lvl>
    <w:lvl w:ilvl="1" w:tplc="43A80DD6">
      <w:start w:val="1"/>
      <w:numFmt w:val="lowerLetter"/>
      <w:lvlText w:val="%2."/>
      <w:lvlJc w:val="left"/>
      <w:pPr>
        <w:ind w:left="1440" w:hanging="360"/>
      </w:pPr>
    </w:lvl>
    <w:lvl w:ilvl="2" w:tplc="342AA064">
      <w:start w:val="1"/>
      <w:numFmt w:val="lowerRoman"/>
      <w:lvlText w:val="%3."/>
      <w:lvlJc w:val="right"/>
      <w:pPr>
        <w:ind w:left="2160" w:hanging="180"/>
      </w:pPr>
    </w:lvl>
    <w:lvl w:ilvl="3" w:tplc="9CF84128">
      <w:start w:val="1"/>
      <w:numFmt w:val="decimal"/>
      <w:lvlText w:val="%4."/>
      <w:lvlJc w:val="left"/>
      <w:pPr>
        <w:ind w:left="2880" w:hanging="360"/>
      </w:pPr>
    </w:lvl>
    <w:lvl w:ilvl="4" w:tplc="2DB29392">
      <w:start w:val="1"/>
      <w:numFmt w:val="lowerLetter"/>
      <w:lvlText w:val="%5."/>
      <w:lvlJc w:val="left"/>
      <w:pPr>
        <w:ind w:left="3600" w:hanging="360"/>
      </w:pPr>
    </w:lvl>
    <w:lvl w:ilvl="5" w:tplc="B858C1CC">
      <w:start w:val="1"/>
      <w:numFmt w:val="lowerRoman"/>
      <w:lvlText w:val="%6."/>
      <w:lvlJc w:val="right"/>
      <w:pPr>
        <w:ind w:left="4320" w:hanging="180"/>
      </w:pPr>
    </w:lvl>
    <w:lvl w:ilvl="6" w:tplc="30BCFB32">
      <w:start w:val="1"/>
      <w:numFmt w:val="decimal"/>
      <w:lvlText w:val="%7."/>
      <w:lvlJc w:val="left"/>
      <w:pPr>
        <w:ind w:left="5040" w:hanging="360"/>
      </w:pPr>
    </w:lvl>
    <w:lvl w:ilvl="7" w:tplc="4308F4A0">
      <w:start w:val="1"/>
      <w:numFmt w:val="lowerLetter"/>
      <w:lvlText w:val="%8."/>
      <w:lvlJc w:val="left"/>
      <w:pPr>
        <w:ind w:left="5760" w:hanging="360"/>
      </w:pPr>
    </w:lvl>
    <w:lvl w:ilvl="8" w:tplc="550407CC">
      <w:start w:val="1"/>
      <w:numFmt w:val="lowerRoman"/>
      <w:lvlText w:val="%9."/>
      <w:lvlJc w:val="right"/>
      <w:pPr>
        <w:ind w:left="6480" w:hanging="180"/>
      </w:pPr>
    </w:lvl>
  </w:abstractNum>
  <w:abstractNum w:abstractNumId="11" w15:restartNumberingAfterBreak="0">
    <w:nsid w:val="5CCE2627"/>
    <w:multiLevelType w:val="hybridMultilevel"/>
    <w:tmpl w:val="9760C7C6"/>
    <w:lvl w:ilvl="0" w:tplc="CE841656">
      <w:start w:val="1"/>
      <w:numFmt w:val="decimal"/>
      <w:lvlText w:val="%1."/>
      <w:lvlJc w:val="left"/>
      <w:pPr>
        <w:ind w:left="720" w:hanging="360"/>
      </w:pPr>
      <w:rPr>
        <w:rFonts w:ascii="Arial" w:hAnsi="Arial" w:cs="Arial" w:hint="default"/>
      </w:rPr>
    </w:lvl>
    <w:lvl w:ilvl="1" w:tplc="08090001">
      <w:start w:val="1"/>
      <w:numFmt w:val="bullet"/>
      <w:lvlText w:val=""/>
      <w:lvlJc w:val="left"/>
      <w:pPr>
        <w:ind w:left="1440" w:hanging="360"/>
      </w:pPr>
      <w:rPr>
        <w:rFonts w:ascii="Symbol" w:hAnsi="Symbol" w:hint="default"/>
      </w:rPr>
    </w:lvl>
    <w:lvl w:ilvl="2" w:tplc="56D81F92">
      <w:start w:val="1"/>
      <w:numFmt w:val="lowerRoman"/>
      <w:lvlText w:val="%3."/>
      <w:lvlJc w:val="right"/>
      <w:pPr>
        <w:ind w:left="2160" w:hanging="180"/>
      </w:pPr>
    </w:lvl>
    <w:lvl w:ilvl="3" w:tplc="85B63810">
      <w:start w:val="1"/>
      <w:numFmt w:val="decimal"/>
      <w:lvlText w:val="%4."/>
      <w:lvlJc w:val="left"/>
      <w:pPr>
        <w:ind w:left="2880" w:hanging="360"/>
      </w:pPr>
    </w:lvl>
    <w:lvl w:ilvl="4" w:tplc="38A684CE">
      <w:start w:val="1"/>
      <w:numFmt w:val="lowerLetter"/>
      <w:lvlText w:val="%5."/>
      <w:lvlJc w:val="left"/>
      <w:pPr>
        <w:ind w:left="3600" w:hanging="360"/>
      </w:pPr>
    </w:lvl>
    <w:lvl w:ilvl="5" w:tplc="633EA9B4">
      <w:start w:val="1"/>
      <w:numFmt w:val="lowerRoman"/>
      <w:lvlText w:val="%6."/>
      <w:lvlJc w:val="right"/>
      <w:pPr>
        <w:ind w:left="4320" w:hanging="180"/>
      </w:pPr>
    </w:lvl>
    <w:lvl w:ilvl="6" w:tplc="D444F4C0">
      <w:start w:val="1"/>
      <w:numFmt w:val="decimal"/>
      <w:lvlText w:val="%7."/>
      <w:lvlJc w:val="left"/>
      <w:pPr>
        <w:ind w:left="5040" w:hanging="360"/>
      </w:pPr>
    </w:lvl>
    <w:lvl w:ilvl="7" w:tplc="F312BCE8">
      <w:start w:val="1"/>
      <w:numFmt w:val="lowerLetter"/>
      <w:lvlText w:val="%8."/>
      <w:lvlJc w:val="left"/>
      <w:pPr>
        <w:ind w:left="5760" w:hanging="360"/>
      </w:pPr>
    </w:lvl>
    <w:lvl w:ilvl="8" w:tplc="8090B284">
      <w:start w:val="1"/>
      <w:numFmt w:val="lowerRoman"/>
      <w:lvlText w:val="%9."/>
      <w:lvlJc w:val="right"/>
      <w:pPr>
        <w:ind w:left="6480" w:hanging="180"/>
      </w:pPr>
    </w:lvl>
  </w:abstractNum>
  <w:abstractNum w:abstractNumId="12" w15:restartNumberingAfterBreak="0">
    <w:nsid w:val="61694B62"/>
    <w:multiLevelType w:val="hybridMultilevel"/>
    <w:tmpl w:val="4AD073CA"/>
    <w:lvl w:ilvl="0" w:tplc="6F3E3B2C">
      <w:start w:val="1"/>
      <w:numFmt w:val="bullet"/>
      <w:lvlText w:val=""/>
      <w:lvlJc w:val="left"/>
      <w:pPr>
        <w:ind w:left="720" w:hanging="360"/>
      </w:pPr>
      <w:rPr>
        <w:rFonts w:ascii="Symbol" w:hAnsi="Symbol" w:hint="default"/>
      </w:rPr>
    </w:lvl>
    <w:lvl w:ilvl="1" w:tplc="8E1E9D50">
      <w:start w:val="1"/>
      <w:numFmt w:val="bullet"/>
      <w:lvlText w:val="o"/>
      <w:lvlJc w:val="left"/>
      <w:pPr>
        <w:ind w:left="1440" w:hanging="360"/>
      </w:pPr>
      <w:rPr>
        <w:rFonts w:ascii="Courier New" w:hAnsi="Courier New" w:hint="default"/>
      </w:rPr>
    </w:lvl>
    <w:lvl w:ilvl="2" w:tplc="AE4AE94E">
      <w:start w:val="1"/>
      <w:numFmt w:val="bullet"/>
      <w:lvlText w:val=""/>
      <w:lvlJc w:val="left"/>
      <w:pPr>
        <w:ind w:left="2160" w:hanging="360"/>
      </w:pPr>
      <w:rPr>
        <w:rFonts w:ascii="Wingdings" w:hAnsi="Wingdings" w:hint="default"/>
      </w:rPr>
    </w:lvl>
    <w:lvl w:ilvl="3" w:tplc="FC504C2A">
      <w:start w:val="1"/>
      <w:numFmt w:val="bullet"/>
      <w:lvlText w:val=""/>
      <w:lvlJc w:val="left"/>
      <w:pPr>
        <w:ind w:left="2880" w:hanging="360"/>
      </w:pPr>
      <w:rPr>
        <w:rFonts w:ascii="Symbol" w:hAnsi="Symbol" w:hint="default"/>
      </w:rPr>
    </w:lvl>
    <w:lvl w:ilvl="4" w:tplc="448E68C2">
      <w:start w:val="1"/>
      <w:numFmt w:val="bullet"/>
      <w:lvlText w:val="o"/>
      <w:lvlJc w:val="left"/>
      <w:pPr>
        <w:ind w:left="3600" w:hanging="360"/>
      </w:pPr>
      <w:rPr>
        <w:rFonts w:ascii="Courier New" w:hAnsi="Courier New" w:hint="default"/>
      </w:rPr>
    </w:lvl>
    <w:lvl w:ilvl="5" w:tplc="74BA6EE8">
      <w:start w:val="1"/>
      <w:numFmt w:val="bullet"/>
      <w:lvlText w:val=""/>
      <w:lvlJc w:val="left"/>
      <w:pPr>
        <w:ind w:left="4320" w:hanging="360"/>
      </w:pPr>
      <w:rPr>
        <w:rFonts w:ascii="Wingdings" w:hAnsi="Wingdings" w:hint="default"/>
      </w:rPr>
    </w:lvl>
    <w:lvl w:ilvl="6" w:tplc="33FE0996">
      <w:start w:val="1"/>
      <w:numFmt w:val="bullet"/>
      <w:lvlText w:val=""/>
      <w:lvlJc w:val="left"/>
      <w:pPr>
        <w:ind w:left="5040" w:hanging="360"/>
      </w:pPr>
      <w:rPr>
        <w:rFonts w:ascii="Symbol" w:hAnsi="Symbol" w:hint="default"/>
      </w:rPr>
    </w:lvl>
    <w:lvl w:ilvl="7" w:tplc="0862E630">
      <w:start w:val="1"/>
      <w:numFmt w:val="bullet"/>
      <w:lvlText w:val="o"/>
      <w:lvlJc w:val="left"/>
      <w:pPr>
        <w:ind w:left="5760" w:hanging="360"/>
      </w:pPr>
      <w:rPr>
        <w:rFonts w:ascii="Courier New" w:hAnsi="Courier New" w:hint="default"/>
      </w:rPr>
    </w:lvl>
    <w:lvl w:ilvl="8" w:tplc="6BEEFD54">
      <w:start w:val="1"/>
      <w:numFmt w:val="bullet"/>
      <w:lvlText w:val=""/>
      <w:lvlJc w:val="left"/>
      <w:pPr>
        <w:ind w:left="6480" w:hanging="360"/>
      </w:pPr>
      <w:rPr>
        <w:rFonts w:ascii="Wingdings" w:hAnsi="Wingdings" w:hint="default"/>
      </w:rPr>
    </w:lvl>
  </w:abstractNum>
  <w:abstractNum w:abstractNumId="13" w15:restartNumberingAfterBreak="0">
    <w:nsid w:val="6AC54E50"/>
    <w:multiLevelType w:val="hybridMultilevel"/>
    <w:tmpl w:val="FFFFFFFF"/>
    <w:lvl w:ilvl="0" w:tplc="340E6556">
      <w:start w:val="1"/>
      <w:numFmt w:val="decimal"/>
      <w:lvlText w:val="%1."/>
      <w:lvlJc w:val="left"/>
      <w:pPr>
        <w:ind w:left="720" w:hanging="360"/>
      </w:pPr>
    </w:lvl>
    <w:lvl w:ilvl="1" w:tplc="318E5E06">
      <w:start w:val="1"/>
      <w:numFmt w:val="lowerLetter"/>
      <w:lvlText w:val="%2."/>
      <w:lvlJc w:val="left"/>
      <w:pPr>
        <w:ind w:left="1440" w:hanging="360"/>
      </w:pPr>
    </w:lvl>
    <w:lvl w:ilvl="2" w:tplc="A64A065C">
      <w:start w:val="1"/>
      <w:numFmt w:val="lowerRoman"/>
      <w:lvlText w:val="%3."/>
      <w:lvlJc w:val="right"/>
      <w:pPr>
        <w:ind w:left="2160" w:hanging="180"/>
      </w:pPr>
    </w:lvl>
    <w:lvl w:ilvl="3" w:tplc="65A025FA">
      <w:start w:val="1"/>
      <w:numFmt w:val="decimal"/>
      <w:lvlText w:val="%4."/>
      <w:lvlJc w:val="left"/>
      <w:pPr>
        <w:ind w:left="2880" w:hanging="360"/>
      </w:pPr>
    </w:lvl>
    <w:lvl w:ilvl="4" w:tplc="3FFABA54">
      <w:start w:val="1"/>
      <w:numFmt w:val="lowerLetter"/>
      <w:lvlText w:val="%5."/>
      <w:lvlJc w:val="left"/>
      <w:pPr>
        <w:ind w:left="3600" w:hanging="360"/>
      </w:pPr>
    </w:lvl>
    <w:lvl w:ilvl="5" w:tplc="B86461F0">
      <w:start w:val="1"/>
      <w:numFmt w:val="lowerRoman"/>
      <w:lvlText w:val="%6."/>
      <w:lvlJc w:val="right"/>
      <w:pPr>
        <w:ind w:left="4320" w:hanging="180"/>
      </w:pPr>
    </w:lvl>
    <w:lvl w:ilvl="6" w:tplc="BF383D06">
      <w:start w:val="1"/>
      <w:numFmt w:val="decimal"/>
      <w:lvlText w:val="%7."/>
      <w:lvlJc w:val="left"/>
      <w:pPr>
        <w:ind w:left="5040" w:hanging="360"/>
      </w:pPr>
    </w:lvl>
    <w:lvl w:ilvl="7" w:tplc="6C989F3C">
      <w:start w:val="1"/>
      <w:numFmt w:val="lowerLetter"/>
      <w:lvlText w:val="%8."/>
      <w:lvlJc w:val="left"/>
      <w:pPr>
        <w:ind w:left="5760" w:hanging="360"/>
      </w:pPr>
    </w:lvl>
    <w:lvl w:ilvl="8" w:tplc="68F4D6B6">
      <w:start w:val="1"/>
      <w:numFmt w:val="lowerRoman"/>
      <w:lvlText w:val="%9."/>
      <w:lvlJc w:val="right"/>
      <w:pPr>
        <w:ind w:left="6480" w:hanging="180"/>
      </w:pPr>
    </w:lvl>
  </w:abstractNum>
  <w:abstractNum w:abstractNumId="14" w15:restartNumberingAfterBreak="0">
    <w:nsid w:val="7387631F"/>
    <w:multiLevelType w:val="hybridMultilevel"/>
    <w:tmpl w:val="B21EBB2A"/>
    <w:lvl w:ilvl="0" w:tplc="2F6CB2C8">
      <w:start w:val="1"/>
      <w:numFmt w:val="decimal"/>
      <w:lvlText w:val="%1."/>
      <w:lvlJc w:val="left"/>
      <w:pPr>
        <w:ind w:left="720" w:hanging="360"/>
      </w:pPr>
      <w:rPr>
        <w:rFonts w:ascii="Arial" w:hAnsi="Arial" w:cs="Arial" w:hint="default"/>
      </w:rPr>
    </w:lvl>
    <w:lvl w:ilvl="1" w:tplc="318E5E06">
      <w:start w:val="1"/>
      <w:numFmt w:val="lowerLetter"/>
      <w:lvlText w:val="%2."/>
      <w:lvlJc w:val="left"/>
      <w:pPr>
        <w:ind w:left="1440" w:hanging="360"/>
      </w:pPr>
    </w:lvl>
    <w:lvl w:ilvl="2" w:tplc="A64A065C">
      <w:start w:val="1"/>
      <w:numFmt w:val="lowerRoman"/>
      <w:lvlText w:val="%3."/>
      <w:lvlJc w:val="right"/>
      <w:pPr>
        <w:ind w:left="2160" w:hanging="180"/>
      </w:pPr>
    </w:lvl>
    <w:lvl w:ilvl="3" w:tplc="65A025FA">
      <w:start w:val="1"/>
      <w:numFmt w:val="decimal"/>
      <w:lvlText w:val="%4."/>
      <w:lvlJc w:val="left"/>
      <w:pPr>
        <w:ind w:left="2880" w:hanging="360"/>
      </w:pPr>
    </w:lvl>
    <w:lvl w:ilvl="4" w:tplc="3FFABA54">
      <w:start w:val="1"/>
      <w:numFmt w:val="lowerLetter"/>
      <w:lvlText w:val="%5."/>
      <w:lvlJc w:val="left"/>
      <w:pPr>
        <w:ind w:left="3600" w:hanging="360"/>
      </w:pPr>
    </w:lvl>
    <w:lvl w:ilvl="5" w:tplc="B86461F0">
      <w:start w:val="1"/>
      <w:numFmt w:val="lowerRoman"/>
      <w:lvlText w:val="%6."/>
      <w:lvlJc w:val="right"/>
      <w:pPr>
        <w:ind w:left="4320" w:hanging="180"/>
      </w:pPr>
    </w:lvl>
    <w:lvl w:ilvl="6" w:tplc="BF383D06">
      <w:start w:val="1"/>
      <w:numFmt w:val="decimal"/>
      <w:lvlText w:val="%7."/>
      <w:lvlJc w:val="left"/>
      <w:pPr>
        <w:ind w:left="5040" w:hanging="360"/>
      </w:pPr>
    </w:lvl>
    <w:lvl w:ilvl="7" w:tplc="6C989F3C">
      <w:start w:val="1"/>
      <w:numFmt w:val="lowerLetter"/>
      <w:lvlText w:val="%8."/>
      <w:lvlJc w:val="left"/>
      <w:pPr>
        <w:ind w:left="5760" w:hanging="360"/>
      </w:pPr>
    </w:lvl>
    <w:lvl w:ilvl="8" w:tplc="68F4D6B6">
      <w:start w:val="1"/>
      <w:numFmt w:val="lowerRoman"/>
      <w:lvlText w:val="%9."/>
      <w:lvlJc w:val="right"/>
      <w:pPr>
        <w:ind w:left="6480" w:hanging="180"/>
      </w:pPr>
    </w:lvl>
  </w:abstractNum>
  <w:num w:numId="1">
    <w:abstractNumId w:val="6"/>
  </w:num>
  <w:num w:numId="2">
    <w:abstractNumId w:val="10"/>
  </w:num>
  <w:num w:numId="3">
    <w:abstractNumId w:val="3"/>
  </w:num>
  <w:num w:numId="4">
    <w:abstractNumId w:val="11"/>
  </w:num>
  <w:num w:numId="5">
    <w:abstractNumId w:val="5"/>
  </w:num>
  <w:num w:numId="6">
    <w:abstractNumId w:val="12"/>
  </w:num>
  <w:num w:numId="7">
    <w:abstractNumId w:val="2"/>
  </w:num>
  <w:num w:numId="8">
    <w:abstractNumId w:val="7"/>
  </w:num>
  <w:num w:numId="9">
    <w:abstractNumId w:val="13"/>
  </w:num>
  <w:num w:numId="10">
    <w:abstractNumId w:val="1"/>
  </w:num>
  <w:num w:numId="11">
    <w:abstractNumId w:val="8"/>
  </w:num>
  <w:num w:numId="12">
    <w:abstractNumId w:val="0"/>
  </w:num>
  <w:num w:numId="13">
    <w:abstractNumId w:val="14"/>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25ABB"/>
    <w:rsid w:val="000C735C"/>
    <w:rsid w:val="000F0463"/>
    <w:rsid w:val="00136852"/>
    <w:rsid w:val="00165FED"/>
    <w:rsid w:val="00184408"/>
    <w:rsid w:val="0019453B"/>
    <w:rsid w:val="0019719C"/>
    <w:rsid w:val="001D4328"/>
    <w:rsid w:val="003D5F00"/>
    <w:rsid w:val="003F7738"/>
    <w:rsid w:val="004670BC"/>
    <w:rsid w:val="0049499B"/>
    <w:rsid w:val="004D5958"/>
    <w:rsid w:val="004E5E3C"/>
    <w:rsid w:val="0057146B"/>
    <w:rsid w:val="006B2C06"/>
    <w:rsid w:val="008058E4"/>
    <w:rsid w:val="00834F1E"/>
    <w:rsid w:val="00B37004"/>
    <w:rsid w:val="00B94564"/>
    <w:rsid w:val="00C66712"/>
    <w:rsid w:val="00CE4A9B"/>
    <w:rsid w:val="00D10E01"/>
    <w:rsid w:val="00D708A6"/>
    <w:rsid w:val="00DF46A8"/>
    <w:rsid w:val="00ED203B"/>
    <w:rsid w:val="00EE02D4"/>
    <w:rsid w:val="00F05CF6"/>
    <w:rsid w:val="00F64107"/>
    <w:rsid w:val="1618BAD6"/>
    <w:rsid w:val="2D4A39AD"/>
    <w:rsid w:val="2E76B36E"/>
    <w:rsid w:val="4F325ABB"/>
    <w:rsid w:val="5AACE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5ABB"/>
  <w15:chartTrackingRefBased/>
  <w15:docId w15:val="{1C4D882A-BD51-46B0-86E0-6DB573A2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ED2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03B"/>
    <w:rPr>
      <w:sz w:val="20"/>
      <w:szCs w:val="20"/>
      <w:lang w:val="en-GB"/>
    </w:rPr>
  </w:style>
  <w:style w:type="character" w:styleId="FootnoteReference">
    <w:name w:val="footnote reference"/>
    <w:basedOn w:val="DefaultParagraphFont"/>
    <w:uiPriority w:val="99"/>
    <w:semiHidden/>
    <w:unhideWhenUsed/>
    <w:rsid w:val="00ED203B"/>
    <w:rPr>
      <w:vertAlign w:val="superscript"/>
    </w:rPr>
  </w:style>
  <w:style w:type="paragraph" w:styleId="Header">
    <w:name w:val="header"/>
    <w:basedOn w:val="Normal"/>
    <w:link w:val="HeaderChar"/>
    <w:uiPriority w:val="99"/>
    <w:semiHidden/>
    <w:unhideWhenUsed/>
    <w:rsid w:val="004949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499B"/>
    <w:rPr>
      <w:lang w:val="en-GB"/>
    </w:rPr>
  </w:style>
  <w:style w:type="paragraph" w:styleId="Footer">
    <w:name w:val="footer"/>
    <w:basedOn w:val="Normal"/>
    <w:link w:val="FooterChar"/>
    <w:uiPriority w:val="99"/>
    <w:semiHidden/>
    <w:unhideWhenUsed/>
    <w:rsid w:val="004949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499B"/>
    <w:rPr>
      <w:lang w:val="en-GB"/>
    </w:rPr>
  </w:style>
  <w:style w:type="paragraph" w:styleId="Revision">
    <w:name w:val="Revision"/>
    <w:hidden/>
    <w:uiPriority w:val="99"/>
    <w:semiHidden/>
    <w:rsid w:val="00D10E0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statistics/statistics-on-international-development-p%5b%E2%80%A6%5dtics-on-international-development-provisional-uk-aid-spend-20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ai.independent.gov.uk/new-report-icai-follow-up-review-of-2019-20-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shwhatyoufund.org/the-index/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blishwhatyoufund.org/projects/improving-uk-aid-transparenc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ai.independent.gov.uk/wp-content/uploads/ICAI-follow-up-2019-20-revie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EEEE2EC8173B4EB90D60B99673023F" ma:contentTypeVersion="14" ma:contentTypeDescription="Create a new document." ma:contentTypeScope="" ma:versionID="a523a08845f512d814bc1817e953970b">
  <xsd:schema xmlns:xsd="http://www.w3.org/2001/XMLSchema" xmlns:xs="http://www.w3.org/2001/XMLSchema" xmlns:p="http://schemas.microsoft.com/office/2006/metadata/properties" xmlns:ns2="ca7811a4-597d-4b1c-828a-fe896b40d303" xmlns:ns3="bdeeb465-4212-44c7-ac0a-d74d68d53a8e" targetNamespace="http://schemas.microsoft.com/office/2006/metadata/properties" ma:root="true" ma:fieldsID="5db68adc1951e350532d0e813372b348" ns2:_="" ns3:_="">
    <xsd:import namespace="ca7811a4-597d-4b1c-828a-fe896b40d303"/>
    <xsd:import namespace="bdeeb465-4212-44c7-ac0a-d74d68d53a8e"/>
    <xsd:element name="properties">
      <xsd:complexType>
        <xsd:sequence>
          <xsd:element name="documentManagement">
            <xsd:complexType>
              <xsd:all>
                <xsd:element ref="ns2:SharedWithUser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11a4-597d-4b1c-828a-fe896b40d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eb465-4212-44c7-ac0a-d74d68d53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64FA-B94B-4217-BF91-4706E5097576}">
  <ds:schemaRefs>
    <ds:schemaRef ds:uri="http://schemas.microsoft.com/sharepoint/v3/contenttype/forms"/>
  </ds:schemaRefs>
</ds:datastoreItem>
</file>

<file path=customXml/itemProps2.xml><?xml version="1.0" encoding="utf-8"?>
<ds:datastoreItem xmlns:ds="http://schemas.openxmlformats.org/officeDocument/2006/customXml" ds:itemID="{8C255750-27B1-4642-A43B-A491FD2592D4}">
  <ds:schemaRefs>
    <ds:schemaRef ds:uri="bdeeb465-4212-44c7-ac0a-d74d68d53a8e"/>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ca7811a4-597d-4b1c-828a-fe896b40d30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D680F9-A11B-475C-88C9-9BBA6AF9B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11a4-597d-4b1c-828a-fe896b40d303"/>
    <ds:schemaRef ds:uri="bdeeb465-4212-44c7-ac0a-d74d68d53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3098E-9854-446D-8D5E-1F59C21A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Links>
    <vt:vector size="30" baseType="variant">
      <vt:variant>
        <vt:i4>6946878</vt:i4>
      </vt:variant>
      <vt:variant>
        <vt:i4>9</vt:i4>
      </vt:variant>
      <vt:variant>
        <vt:i4>0</vt:i4>
      </vt:variant>
      <vt:variant>
        <vt:i4>5</vt:i4>
      </vt:variant>
      <vt:variant>
        <vt:lpwstr>https://www.publishwhatyoufund.org/projects/improving-uk-aid-transparency/</vt:lpwstr>
      </vt:variant>
      <vt:variant>
        <vt:lpwstr/>
      </vt:variant>
      <vt:variant>
        <vt:i4>4259857</vt:i4>
      </vt:variant>
      <vt:variant>
        <vt:i4>6</vt:i4>
      </vt:variant>
      <vt:variant>
        <vt:i4>0</vt:i4>
      </vt:variant>
      <vt:variant>
        <vt:i4>5</vt:i4>
      </vt:variant>
      <vt:variant>
        <vt:lpwstr>https://www.gov.uk/government/statistics/statistics-on-international-development-p%5b%E2%80%A6%5dtics-on-international-development-provisional-uk-aid-spend-2020</vt:lpwstr>
      </vt:variant>
      <vt:variant>
        <vt:lpwstr/>
      </vt:variant>
      <vt:variant>
        <vt:i4>1245255</vt:i4>
      </vt:variant>
      <vt:variant>
        <vt:i4>3</vt:i4>
      </vt:variant>
      <vt:variant>
        <vt:i4>0</vt:i4>
      </vt:variant>
      <vt:variant>
        <vt:i4>5</vt:i4>
      </vt:variant>
      <vt:variant>
        <vt:lpwstr>https://icai.independent.gov.uk/new-report-icai-follow-up-review-of-2019-20-reports/</vt:lpwstr>
      </vt:variant>
      <vt:variant>
        <vt:lpwstr/>
      </vt:variant>
      <vt:variant>
        <vt:i4>6946874</vt:i4>
      </vt:variant>
      <vt:variant>
        <vt:i4>0</vt:i4>
      </vt:variant>
      <vt:variant>
        <vt:i4>0</vt:i4>
      </vt:variant>
      <vt:variant>
        <vt:i4>5</vt:i4>
      </vt:variant>
      <vt:variant>
        <vt:lpwstr>https://www.publishwhatyoufund.org/the-index/2020/</vt:lpwstr>
      </vt:variant>
      <vt:variant>
        <vt:lpwstr/>
      </vt:variant>
      <vt:variant>
        <vt:i4>1769500</vt:i4>
      </vt:variant>
      <vt:variant>
        <vt:i4>0</vt:i4>
      </vt:variant>
      <vt:variant>
        <vt:i4>0</vt:i4>
      </vt:variant>
      <vt:variant>
        <vt:i4>5</vt:i4>
      </vt:variant>
      <vt:variant>
        <vt:lpwstr>https://icai.independent.gov.uk/wp-content/uploads/ICAI-follow-up-2019-20-reviews.pdf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Forest</dc:creator>
  <cp:keywords/>
  <dc:description/>
  <cp:lastModifiedBy>Elma Jenkins</cp:lastModifiedBy>
  <cp:revision>2</cp:revision>
  <dcterms:created xsi:type="dcterms:W3CDTF">2021-09-13T16:13:00Z</dcterms:created>
  <dcterms:modified xsi:type="dcterms:W3CDTF">2021-09-13T16:13:00Z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2;#Transparency and accountability|699bae5c-0e95-4f80-8536-0a482e1273ac</vt:lpwstr>
  </property>
  <property fmtid="{D5CDD505-2E9C-101B-9397-08002B2CF9AE}" pid="3" name="Document_x0020_Type">
    <vt:lpwstr/>
  </property>
  <property fmtid="{D5CDD505-2E9C-101B-9397-08002B2CF9AE}" pid="4" name="ContentTypeId">
    <vt:lpwstr>0x01010096EEEE2EC8173B4EB90D60B99673023F</vt:lpwstr>
  </property>
  <property fmtid="{D5CDD505-2E9C-101B-9397-08002B2CF9AE}" pid="5" name="Work_x0020_Area">
    <vt:lpwstr/>
  </property>
  <property fmtid="{D5CDD505-2E9C-101B-9397-08002B2CF9AE}" pid="6" name="Work Area">
    <vt:lpwstr/>
  </property>
  <property fmtid="{D5CDD505-2E9C-101B-9397-08002B2CF9AE}" pid="7" name="Document Type">
    <vt:lpwstr/>
  </property>
</Properties>
</file>