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14" w:rsidRPr="00806749" w:rsidRDefault="00D46014" w:rsidP="00D46014">
      <w:pPr>
        <w:pStyle w:val="Heading2"/>
        <w:spacing w:before="120" w:after="120" w:line="240" w:lineRule="auto"/>
        <w:jc w:val="both"/>
        <w:rPr>
          <w:rFonts w:ascii="Cambria" w:eastAsia="Times New Roman" w:hAnsi="Cambria" w:cs="Times New Roman"/>
          <w:b/>
          <w:color w:val="4F81BD"/>
          <w:sz w:val="24"/>
          <w:szCs w:val="24"/>
        </w:rPr>
      </w:pPr>
      <w:bookmarkStart w:id="0" w:name="_Toc370376058"/>
      <w:r w:rsidRPr="00806749">
        <w:rPr>
          <w:rFonts w:ascii="Cambria" w:eastAsia="Times New Roman" w:hAnsi="Cambria" w:cs="Times New Roman"/>
          <w:b/>
          <w:color w:val="4F81BD"/>
          <w:sz w:val="24"/>
          <w:szCs w:val="24"/>
        </w:rPr>
        <w:t>Scoring methodology and indicator weighting in 201</w:t>
      </w:r>
      <w:r w:rsidR="00806749" w:rsidRPr="00806749">
        <w:rPr>
          <w:rFonts w:ascii="Cambria" w:eastAsia="Times New Roman" w:hAnsi="Cambria" w:cs="Times New Roman"/>
          <w:b/>
          <w:color w:val="4F81BD"/>
          <w:sz w:val="24"/>
          <w:szCs w:val="24"/>
        </w:rPr>
        <w:t>4</w:t>
      </w:r>
    </w:p>
    <w:tbl>
      <w:tblPr>
        <w:tblW w:w="11370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835"/>
        <w:gridCol w:w="4537"/>
        <w:gridCol w:w="879"/>
      </w:tblGrid>
      <w:tr w:rsidR="0091214C" w:rsidRPr="00423FCC" w:rsidTr="003B468E">
        <w:trPr>
          <w:trHeight w:val="22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23FCC">
              <w:rPr>
                <w:rFonts w:eastAsia="Calibri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214C" w:rsidRPr="00423FCC" w:rsidRDefault="0091214C" w:rsidP="00D4601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23FCC">
              <w:rPr>
                <w:rFonts w:eastAsia="Calibri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-</w:t>
            </w:r>
            <w:r w:rsidRPr="00423FCC">
              <w:rPr>
                <w:rFonts w:eastAsia="Calibri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23FCC">
              <w:rPr>
                <w:rFonts w:eastAsia="Calibri"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1214C" w:rsidRPr="00423FCC" w:rsidRDefault="0091214C" w:rsidP="00D4601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23FCC">
              <w:rPr>
                <w:b/>
                <w:bCs/>
                <w:sz w:val="20"/>
                <w:szCs w:val="20"/>
              </w:rPr>
              <w:t>Scoring Approach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91214C" w:rsidRPr="00423FCC" w:rsidRDefault="0091214C" w:rsidP="00D4601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Weight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 w:val="restart"/>
            <w:shd w:val="clear" w:color="auto" w:fill="8DB3E2"/>
            <w:noWrap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rFonts w:eastAsia="Calibri" w:cs="Times New Roman"/>
                <w:sz w:val="20"/>
                <w:szCs w:val="20"/>
              </w:rPr>
              <w:t>Commitment to aid transparency</w:t>
            </w:r>
          </w:p>
        </w:tc>
        <w:tc>
          <w:tcPr>
            <w:tcW w:w="1418" w:type="dxa"/>
            <w:vMerge w:val="restart"/>
            <w:shd w:val="clear" w:color="auto" w:fill="8DB3E2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rFonts w:eastAsia="Calibri" w:cs="Times New Roman"/>
                <w:sz w:val="20"/>
                <w:szCs w:val="20"/>
              </w:rPr>
              <w:t>Commitment</w:t>
            </w:r>
          </w:p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8DB3E2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Quality of FOI legislation</w:t>
            </w:r>
          </w:p>
        </w:tc>
        <w:tc>
          <w:tcPr>
            <w:tcW w:w="4537" w:type="dxa"/>
            <w:shd w:val="clear" w:color="auto" w:fill="8DB3E2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 xml:space="preserve">Graduated based on the score given in </w:t>
            </w:r>
            <w:r>
              <w:rPr>
                <w:sz w:val="20"/>
                <w:szCs w:val="20"/>
              </w:rPr>
              <w:t>Right To Information (</w:t>
            </w:r>
            <w:r w:rsidRPr="00423FCC">
              <w:rPr>
                <w:sz w:val="20"/>
                <w:szCs w:val="20"/>
              </w:rPr>
              <w:t>RTI</w:t>
            </w:r>
            <w:r>
              <w:rPr>
                <w:sz w:val="20"/>
                <w:szCs w:val="20"/>
              </w:rPr>
              <w:t>)</w:t>
            </w:r>
            <w:r w:rsidRPr="00423FCC">
              <w:rPr>
                <w:sz w:val="20"/>
                <w:szCs w:val="20"/>
              </w:rPr>
              <w:t xml:space="preserve"> Rating.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879" w:type="dxa"/>
            <w:shd w:val="clear" w:color="auto" w:fill="8DB3E2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8DB3E2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8DB3E2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8DB3E2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Implementation schedules</w:t>
            </w:r>
          </w:p>
        </w:tc>
        <w:tc>
          <w:tcPr>
            <w:tcW w:w="4537" w:type="dxa"/>
            <w:shd w:val="clear" w:color="auto" w:fill="8DB3E2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the total score received out of 100 based on analysis of Busan common standard/IATI implementation schedules.</w:t>
            </w:r>
          </w:p>
        </w:tc>
        <w:tc>
          <w:tcPr>
            <w:tcW w:w="879" w:type="dxa"/>
            <w:shd w:val="clear" w:color="auto" w:fill="8DB3E2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8DB3E2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8DB3E2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 xml:space="preserve">Accessibility 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8DB3E2"/>
          </w:tcPr>
          <w:p w:rsidR="0091214C" w:rsidRPr="00423FCC" w:rsidRDefault="0091214C" w:rsidP="00013BB5">
            <w:pPr>
              <w:tabs>
                <w:tab w:val="left" w:pos="3577"/>
              </w:tabs>
              <w:spacing w:after="0" w:line="240" w:lineRule="auto"/>
              <w:ind w:right="34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 xml:space="preserve">Graduated </w:t>
            </w:r>
            <w:r>
              <w:rPr>
                <w:sz w:val="20"/>
                <w:szCs w:val="20"/>
              </w:rPr>
              <w:t>b</w:t>
            </w:r>
            <w:r w:rsidRPr="00423FCC">
              <w:rPr>
                <w:sz w:val="20"/>
                <w:szCs w:val="20"/>
              </w:rPr>
              <w:t xml:space="preserve">ased on three criteria: allows free bulk export of data; provides disaggregated, detailed data on activities; and data is released under an open licence. 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8DB3E2"/>
          </w:tcPr>
          <w:p w:rsidR="0091214C" w:rsidRPr="00423FCC" w:rsidRDefault="0091214C" w:rsidP="003B468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 w:val="restart"/>
            <w:shd w:val="clear" w:color="auto" w:fill="C6D9F1"/>
            <w:noWrap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Publication –</w:t>
            </w:r>
            <w:r w:rsidRPr="00423FCC">
              <w:rPr>
                <w:rFonts w:eastAsia="Calibri" w:cs="Times New Roman"/>
                <w:sz w:val="20"/>
                <w:szCs w:val="20"/>
              </w:rPr>
              <w:t xml:space="preserve"> Organisation level</w:t>
            </w:r>
          </w:p>
        </w:tc>
        <w:tc>
          <w:tcPr>
            <w:tcW w:w="1418" w:type="dxa"/>
            <w:vMerge w:val="restart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rFonts w:eastAsia="Calibri" w:cs="Times New Roman"/>
                <w:sz w:val="20"/>
                <w:szCs w:val="20"/>
              </w:rPr>
              <w:t>Planning</w:t>
            </w:r>
          </w:p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Strategy</w:t>
            </w:r>
          </w:p>
        </w:tc>
        <w:tc>
          <w:tcPr>
            <w:tcW w:w="4537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C6D9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Annual report</w:t>
            </w:r>
          </w:p>
        </w:tc>
        <w:tc>
          <w:tcPr>
            <w:tcW w:w="4537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C6D9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Allocation policy</w:t>
            </w:r>
          </w:p>
        </w:tc>
        <w:tc>
          <w:tcPr>
            <w:tcW w:w="4537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C6D9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Procurement policy</w:t>
            </w:r>
          </w:p>
        </w:tc>
        <w:tc>
          <w:tcPr>
            <w:tcW w:w="4537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C6D9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Strategy (country</w:t>
            </w:r>
            <w:r w:rsidR="00E17FCD">
              <w:rPr>
                <w:sz w:val="20"/>
                <w:szCs w:val="20"/>
              </w:rPr>
              <w:t xml:space="preserve"> / sector</w:t>
            </w:r>
            <w:r w:rsidRPr="00423FCC">
              <w:rPr>
                <w:sz w:val="20"/>
                <w:szCs w:val="20"/>
              </w:rPr>
              <w:t>)</w:t>
            </w:r>
          </w:p>
        </w:tc>
        <w:tc>
          <w:tcPr>
            <w:tcW w:w="4537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C6D9F1"/>
            <w:noWrap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rFonts w:eastAsia="Calibri" w:cs="Times New Roman"/>
                <w:sz w:val="20"/>
                <w:szCs w:val="20"/>
              </w:rPr>
              <w:t>Financial</w:t>
            </w:r>
          </w:p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Total organisation budget</w:t>
            </w:r>
          </w:p>
        </w:tc>
        <w:tc>
          <w:tcPr>
            <w:tcW w:w="4537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 and number of years for which data is provided</w:t>
            </w:r>
          </w:p>
        </w:tc>
        <w:tc>
          <w:tcPr>
            <w:tcW w:w="879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C6D9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Disaggregated budget</w:t>
            </w:r>
          </w:p>
        </w:tc>
        <w:tc>
          <w:tcPr>
            <w:tcW w:w="4537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 and number of years for which data is provided</w:t>
            </w:r>
          </w:p>
        </w:tc>
        <w:tc>
          <w:tcPr>
            <w:tcW w:w="879" w:type="dxa"/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6D9F1"/>
            <w:noWrap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/>
            <w:noWrap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Audit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C6D9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 w:val="restart"/>
            <w:shd w:val="clear" w:color="auto" w:fill="DBE5F1"/>
            <w:noWrap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rFonts w:eastAsia="Calibri" w:cs="Times New Roman"/>
                <w:sz w:val="20"/>
                <w:szCs w:val="20"/>
              </w:rPr>
              <w:t xml:space="preserve">Publication – Activity level </w:t>
            </w:r>
          </w:p>
        </w:tc>
        <w:tc>
          <w:tcPr>
            <w:tcW w:w="1418" w:type="dxa"/>
            <w:vMerge w:val="restart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Basic activity i</w:t>
            </w:r>
            <w:r w:rsidRPr="00423FCC">
              <w:rPr>
                <w:rFonts w:eastAsia="Calibri" w:cs="Times New Roman"/>
                <w:sz w:val="20"/>
                <w:szCs w:val="20"/>
              </w:rPr>
              <w:t>nformation</w:t>
            </w:r>
          </w:p>
        </w:tc>
        <w:tc>
          <w:tcPr>
            <w:tcW w:w="2835" w:type="dxa"/>
            <w:shd w:val="clear" w:color="auto" w:fill="DBE5F1"/>
            <w:noWrap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Implementer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1.63%</w:t>
            </w:r>
          </w:p>
        </w:tc>
      </w:tr>
      <w:tr w:rsidR="0091214C" w:rsidRPr="00423FCC" w:rsidTr="003B468E">
        <w:trPr>
          <w:trHeight w:val="290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Unique ID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1012F0">
              <w:rPr>
                <w:sz w:val="20"/>
                <w:szCs w:val="20"/>
              </w:rPr>
              <w:t>1.63%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Title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1012F0">
              <w:rPr>
                <w:sz w:val="20"/>
                <w:szCs w:val="20"/>
              </w:rPr>
              <w:t>1.63%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Description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1012F0">
              <w:rPr>
                <w:sz w:val="20"/>
                <w:szCs w:val="20"/>
              </w:rPr>
              <w:t>1.63%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Planned dates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1012F0">
              <w:rPr>
                <w:sz w:val="20"/>
                <w:szCs w:val="20"/>
              </w:rPr>
              <w:t>1.63%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Actual dates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1012F0">
              <w:rPr>
                <w:sz w:val="20"/>
                <w:szCs w:val="20"/>
              </w:rPr>
              <w:t>1.63%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Current status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1012F0">
              <w:rPr>
                <w:sz w:val="20"/>
                <w:szCs w:val="20"/>
              </w:rPr>
              <w:t>1.63%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Contact details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1012F0">
              <w:rPr>
                <w:sz w:val="20"/>
                <w:szCs w:val="20"/>
              </w:rPr>
              <w:t>1.63%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rFonts w:eastAsia="Calibri" w:cs="Times New Roman"/>
                <w:sz w:val="20"/>
                <w:szCs w:val="20"/>
              </w:rPr>
              <w:t>Classifications</w:t>
            </w:r>
          </w:p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Collaboration type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Flow type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75C22">
              <w:rPr>
                <w:sz w:val="20"/>
                <w:szCs w:val="20"/>
              </w:rPr>
              <w:t>1.86%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Aid type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75C22">
              <w:rPr>
                <w:sz w:val="20"/>
                <w:szCs w:val="20"/>
              </w:rPr>
              <w:t>1.86%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Finance type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75C22">
              <w:rPr>
                <w:sz w:val="20"/>
                <w:szCs w:val="20"/>
              </w:rPr>
              <w:t>1.86%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Sectors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75C22">
              <w:rPr>
                <w:sz w:val="20"/>
                <w:szCs w:val="20"/>
              </w:rPr>
              <w:t>1.86%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Sub-national location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75C22">
              <w:rPr>
                <w:sz w:val="20"/>
                <w:szCs w:val="20"/>
              </w:rPr>
              <w:t>1.86%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Tied aid status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75C22">
              <w:rPr>
                <w:sz w:val="20"/>
                <w:szCs w:val="20"/>
              </w:rPr>
              <w:t>1.86%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rFonts w:eastAsia="Calibri" w:cs="Times New Roman"/>
                <w:sz w:val="20"/>
                <w:szCs w:val="20"/>
              </w:rPr>
              <w:t>Related documents</w:t>
            </w: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color w:val="000000"/>
                <w:sz w:val="20"/>
                <w:szCs w:val="20"/>
              </w:rPr>
              <w:t>Memorandum of Understanding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 xml:space="preserve">Graduated based on accessibility </w:t>
            </w:r>
          </w:p>
        </w:tc>
        <w:tc>
          <w:tcPr>
            <w:tcW w:w="879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Evaluations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524C1">
              <w:rPr>
                <w:sz w:val="20"/>
                <w:szCs w:val="20"/>
              </w:rPr>
              <w:t>2.17%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Objectives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524C1">
              <w:rPr>
                <w:sz w:val="20"/>
                <w:szCs w:val="20"/>
              </w:rPr>
              <w:t>2.17%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Budget docs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524C1">
              <w:rPr>
                <w:sz w:val="20"/>
                <w:szCs w:val="20"/>
              </w:rPr>
              <w:t>2.17%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Contracts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524C1">
              <w:rPr>
                <w:sz w:val="20"/>
                <w:szCs w:val="20"/>
              </w:rPr>
              <w:t>2.17%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Tenders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0524C1">
              <w:rPr>
                <w:sz w:val="20"/>
                <w:szCs w:val="20"/>
              </w:rPr>
              <w:t>2.17%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rFonts w:eastAsia="Calibri" w:cs="Times New Roman"/>
                <w:sz w:val="20"/>
                <w:szCs w:val="20"/>
              </w:rPr>
              <w:t>Financial</w:t>
            </w: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494688" w:rsidP="00082B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Budget*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494688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B44C74">
              <w:rPr>
                <w:sz w:val="20"/>
                <w:szCs w:val="20"/>
              </w:rPr>
              <w:t>3.25%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BC7034" w:rsidP="00DB0A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Disbursements &amp;</w:t>
            </w:r>
            <w:r w:rsidR="0072285A">
              <w:rPr>
                <w:sz w:val="20"/>
                <w:szCs w:val="20"/>
              </w:rPr>
              <w:t xml:space="preserve"> </w:t>
            </w:r>
            <w:r w:rsidR="0091214C" w:rsidRPr="00423FCC">
              <w:rPr>
                <w:sz w:val="20"/>
                <w:szCs w:val="20"/>
              </w:rPr>
              <w:t xml:space="preserve"> expenditures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B44C74">
              <w:rPr>
                <w:sz w:val="20"/>
                <w:szCs w:val="20"/>
              </w:rPr>
              <w:t>3.25%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912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Budget ID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91214C" w:rsidRDefault="0091214C" w:rsidP="0091214C">
            <w:pPr>
              <w:spacing w:after="0" w:line="240" w:lineRule="auto"/>
              <w:rPr>
                <w:sz w:val="20"/>
                <w:szCs w:val="20"/>
              </w:rPr>
            </w:pPr>
            <w:r w:rsidRPr="00B44C74">
              <w:rPr>
                <w:sz w:val="20"/>
                <w:szCs w:val="20"/>
              </w:rPr>
              <w:t>3.25%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23FCC">
              <w:rPr>
                <w:rFonts w:eastAsia="Calibri" w:cs="Times New Roman"/>
                <w:sz w:val="20"/>
                <w:szCs w:val="20"/>
              </w:rPr>
              <w:t>Performance</w:t>
            </w: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Results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format</w:t>
            </w:r>
          </w:p>
        </w:tc>
        <w:tc>
          <w:tcPr>
            <w:tcW w:w="879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Impact appraisals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4.33%</w:t>
            </w:r>
          </w:p>
        </w:tc>
      </w:tr>
      <w:tr w:rsidR="0091214C" w:rsidRPr="00423FCC" w:rsidTr="003B468E">
        <w:trPr>
          <w:trHeight w:val="225"/>
        </w:trPr>
        <w:tc>
          <w:tcPr>
            <w:tcW w:w="1701" w:type="dxa"/>
            <w:vMerge/>
            <w:shd w:val="clear" w:color="auto" w:fill="DBE5F1"/>
            <w:noWrap/>
            <w:hideMark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noWrap/>
            <w:hideMark/>
          </w:tcPr>
          <w:p w:rsidR="0091214C" w:rsidRPr="00423FCC" w:rsidRDefault="0091214C" w:rsidP="00D46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Conditions</w:t>
            </w:r>
          </w:p>
        </w:tc>
        <w:tc>
          <w:tcPr>
            <w:tcW w:w="4537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Graduated based on accessibility</w:t>
            </w:r>
          </w:p>
        </w:tc>
        <w:tc>
          <w:tcPr>
            <w:tcW w:w="879" w:type="dxa"/>
            <w:shd w:val="clear" w:color="auto" w:fill="DBE5F1"/>
          </w:tcPr>
          <w:p w:rsidR="0091214C" w:rsidRPr="00423FCC" w:rsidRDefault="0091214C" w:rsidP="00D46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4.33%</w:t>
            </w:r>
          </w:p>
        </w:tc>
      </w:tr>
    </w:tbl>
    <w:p w:rsidR="00564582" w:rsidRPr="00564582" w:rsidRDefault="00564582" w:rsidP="00013BB5">
      <w:pPr>
        <w:rPr>
          <w:rFonts w:eastAsia="Calibri"/>
          <w:sz w:val="2"/>
          <w:szCs w:val="2"/>
        </w:rPr>
      </w:pPr>
    </w:p>
    <w:p w:rsidR="005E430D" w:rsidRPr="00B57B9E" w:rsidRDefault="00B57B9E" w:rsidP="00B57B9E">
      <w:pPr>
        <w:spacing w:after="0" w:line="240" w:lineRule="auto"/>
        <w:rPr>
          <w:sz w:val="20"/>
        </w:rPr>
      </w:pPr>
      <w:r w:rsidRPr="00B57B9E">
        <w:rPr>
          <w:sz w:val="20"/>
        </w:rPr>
        <w:t>*</w:t>
      </w:r>
      <w:r w:rsidRPr="00B57B9E">
        <w:rPr>
          <w:sz w:val="20"/>
        </w:rPr>
        <w:t>This indicator is more rigorously measured in 2014 for IATI publishers (information published to IATI is scored higher than information published in other formats). The information must be both forward-looking and broken down by quarter for the first year ahead to score the maximum available points on the indicator.</w:t>
      </w:r>
      <w:r w:rsidRPr="00B57B9E">
        <w:rPr>
          <w:sz w:val="20"/>
        </w:rPr>
        <w:t xml:space="preserve"> </w:t>
      </w:r>
      <w:r w:rsidR="00DB0A76" w:rsidRPr="00B57B9E">
        <w:rPr>
          <w:sz w:val="20"/>
        </w:rPr>
        <w:t xml:space="preserve">For more on why this change has been made, see the </w:t>
      </w:r>
      <w:hyperlink r:id="rId8" w:history="1">
        <w:r w:rsidR="00DB0A76" w:rsidRPr="00B57B9E">
          <w:rPr>
            <w:rStyle w:val="Hyperlink"/>
            <w:rFonts w:cstheme="minorBidi"/>
            <w:sz w:val="20"/>
          </w:rPr>
          <w:t>Index FAQs</w:t>
        </w:r>
      </w:hyperlink>
      <w:r w:rsidR="00DB0A76" w:rsidRPr="00B57B9E">
        <w:rPr>
          <w:sz w:val="20"/>
        </w:rPr>
        <w:t>.</w:t>
      </w:r>
    </w:p>
    <w:p w:rsidR="005E430D" w:rsidRPr="00B57B9E" w:rsidRDefault="005E430D" w:rsidP="00B57B9E">
      <w:pPr>
        <w:spacing w:after="0" w:line="240" w:lineRule="auto"/>
        <w:rPr>
          <w:sz w:val="4"/>
          <w:szCs w:val="6"/>
        </w:rPr>
      </w:pPr>
    </w:p>
    <w:p w:rsidR="00547994" w:rsidRPr="00B57B9E" w:rsidRDefault="005E430D" w:rsidP="00B57B9E">
      <w:pPr>
        <w:spacing w:after="0" w:line="240" w:lineRule="auto"/>
        <w:rPr>
          <w:sz w:val="20"/>
        </w:rPr>
      </w:pPr>
      <w:r w:rsidRPr="00B57B9E">
        <w:rPr>
          <w:sz w:val="20"/>
        </w:rPr>
        <w:t xml:space="preserve">Note: The source of information for indicators 4–39 is the IATI Registry, organisations’ own websites or other sources to which the organisation publishes information on its </w:t>
      </w:r>
      <w:r w:rsidR="00E17FCD" w:rsidRPr="00B57B9E">
        <w:rPr>
          <w:sz w:val="20"/>
        </w:rPr>
        <w:t xml:space="preserve">current </w:t>
      </w:r>
      <w:r w:rsidRPr="00B57B9E">
        <w:rPr>
          <w:sz w:val="20"/>
        </w:rPr>
        <w:t>aid activities.</w:t>
      </w:r>
      <w:bookmarkStart w:id="1" w:name="_GoBack"/>
      <w:bookmarkEnd w:id="0"/>
      <w:bookmarkEnd w:id="1"/>
    </w:p>
    <w:sectPr w:rsidR="00547994" w:rsidRPr="00B57B9E" w:rsidSect="00B57B9E">
      <w:footerReference w:type="default" r:id="rId9"/>
      <w:pgSz w:w="11906" w:h="16838"/>
      <w:pgMar w:top="567" w:right="720" w:bottom="284" w:left="720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2C" w:rsidRDefault="009C0D2C" w:rsidP="006F40A5">
      <w:pPr>
        <w:spacing w:after="0" w:line="240" w:lineRule="auto"/>
      </w:pPr>
      <w:r>
        <w:separator/>
      </w:r>
    </w:p>
  </w:endnote>
  <w:endnote w:type="continuationSeparator" w:id="0">
    <w:p w:rsidR="009C0D2C" w:rsidRDefault="009C0D2C" w:rsidP="006F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76" w:rsidRDefault="00DB0A76">
    <w:pPr>
      <w:pStyle w:val="Footer"/>
      <w:jc w:val="right"/>
    </w:pPr>
  </w:p>
  <w:p w:rsidR="00DB0A76" w:rsidRDefault="00DB0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2C" w:rsidRDefault="009C0D2C" w:rsidP="006F40A5">
      <w:pPr>
        <w:spacing w:after="0" w:line="240" w:lineRule="auto"/>
      </w:pPr>
      <w:r>
        <w:separator/>
      </w:r>
    </w:p>
  </w:footnote>
  <w:footnote w:type="continuationSeparator" w:id="0">
    <w:p w:rsidR="009C0D2C" w:rsidRDefault="009C0D2C" w:rsidP="006F40A5">
      <w:pPr>
        <w:spacing w:after="0" w:line="240" w:lineRule="auto"/>
      </w:pPr>
      <w:r>
        <w:continuationSeparator/>
      </w:r>
    </w:p>
  </w:footnote>
  <w:footnote w:id="1">
    <w:p w:rsidR="00DB0A76" w:rsidRPr="00C504EB" w:rsidRDefault="00DB0A76" w:rsidP="00806749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423FCC">
        <w:t xml:space="preserve">The complete approach to assessing and scoring FOIA and disclosure policy quality </w:t>
      </w:r>
      <w:r>
        <w:t>is</w:t>
      </w:r>
      <w:r w:rsidRPr="00423FCC">
        <w:t xml:space="preserve"> </w:t>
      </w:r>
      <w:r>
        <w:t xml:space="preserve">detailed in the </w:t>
      </w:r>
      <w:hyperlink r:id="rId1" w:history="1">
        <w:r w:rsidRPr="0043170B">
          <w:rPr>
            <w:rStyle w:val="Hyperlink"/>
          </w:rPr>
          <w:t>technical pape</w:t>
        </w:r>
      </w:hyperlink>
      <w:r>
        <w:t xml:space="preserve">r </w:t>
      </w:r>
      <w:r w:rsidRPr="00423FCC">
        <w:t>(</w:t>
      </w:r>
      <w:r w:rsidRPr="0043170B">
        <w:t>see box 2 on p.</w:t>
      </w:r>
      <w:r w:rsidR="00CB1470">
        <w:t>19</w:t>
      </w:r>
      <w:r w:rsidRPr="0043170B">
        <w:t>)</w:t>
      </w:r>
      <w:r w:rsidR="00CB147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FEE48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3724D"/>
    <w:multiLevelType w:val="hybridMultilevel"/>
    <w:tmpl w:val="AD98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14A2"/>
    <w:multiLevelType w:val="multilevel"/>
    <w:tmpl w:val="DBD63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F81BD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9B00D9B"/>
    <w:multiLevelType w:val="hybridMultilevel"/>
    <w:tmpl w:val="9E441E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A2743"/>
    <w:multiLevelType w:val="hybridMultilevel"/>
    <w:tmpl w:val="2DC43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A20BD"/>
    <w:multiLevelType w:val="hybridMultilevel"/>
    <w:tmpl w:val="6882D5BE"/>
    <w:lvl w:ilvl="0" w:tplc="7CEE4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0020A"/>
    <w:multiLevelType w:val="hybridMultilevel"/>
    <w:tmpl w:val="34EE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563A1"/>
    <w:multiLevelType w:val="hybridMultilevel"/>
    <w:tmpl w:val="CFFA61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0A5"/>
    <w:rsid w:val="00013BB5"/>
    <w:rsid w:val="00021083"/>
    <w:rsid w:val="00042BE3"/>
    <w:rsid w:val="000826DC"/>
    <w:rsid w:val="00082BA7"/>
    <w:rsid w:val="00082D71"/>
    <w:rsid w:val="000914FA"/>
    <w:rsid w:val="000C07A9"/>
    <w:rsid w:val="000C3969"/>
    <w:rsid w:val="00114F11"/>
    <w:rsid w:val="00123907"/>
    <w:rsid w:val="00173EB0"/>
    <w:rsid w:val="001759D6"/>
    <w:rsid w:val="001A66FE"/>
    <w:rsid w:val="001E6B2A"/>
    <w:rsid w:val="001F70C6"/>
    <w:rsid w:val="00204E1C"/>
    <w:rsid w:val="00227FD4"/>
    <w:rsid w:val="00235B12"/>
    <w:rsid w:val="00273273"/>
    <w:rsid w:val="00277058"/>
    <w:rsid w:val="002C7FB3"/>
    <w:rsid w:val="002D3B96"/>
    <w:rsid w:val="002E0C64"/>
    <w:rsid w:val="002E3EF1"/>
    <w:rsid w:val="002E456C"/>
    <w:rsid w:val="002E6A70"/>
    <w:rsid w:val="0031795B"/>
    <w:rsid w:val="00320D30"/>
    <w:rsid w:val="00334E9E"/>
    <w:rsid w:val="0033641C"/>
    <w:rsid w:val="00336E57"/>
    <w:rsid w:val="00340888"/>
    <w:rsid w:val="00347D51"/>
    <w:rsid w:val="0038087A"/>
    <w:rsid w:val="00383CC2"/>
    <w:rsid w:val="003B468E"/>
    <w:rsid w:val="003B4B29"/>
    <w:rsid w:val="003C4880"/>
    <w:rsid w:val="003E15DC"/>
    <w:rsid w:val="004059A1"/>
    <w:rsid w:val="00421403"/>
    <w:rsid w:val="00424B4A"/>
    <w:rsid w:val="00425A96"/>
    <w:rsid w:val="0043170B"/>
    <w:rsid w:val="0043668E"/>
    <w:rsid w:val="00483692"/>
    <w:rsid w:val="00494688"/>
    <w:rsid w:val="004B5EC4"/>
    <w:rsid w:val="004C39F4"/>
    <w:rsid w:val="004E2264"/>
    <w:rsid w:val="00546258"/>
    <w:rsid w:val="00547994"/>
    <w:rsid w:val="00564582"/>
    <w:rsid w:val="00565473"/>
    <w:rsid w:val="005800CF"/>
    <w:rsid w:val="005920E7"/>
    <w:rsid w:val="005A42C5"/>
    <w:rsid w:val="005D50D0"/>
    <w:rsid w:val="005D686F"/>
    <w:rsid w:val="005D78E6"/>
    <w:rsid w:val="005E430D"/>
    <w:rsid w:val="00635488"/>
    <w:rsid w:val="00657753"/>
    <w:rsid w:val="0069377A"/>
    <w:rsid w:val="006A061B"/>
    <w:rsid w:val="006A0AE8"/>
    <w:rsid w:val="006B3A45"/>
    <w:rsid w:val="006F0B47"/>
    <w:rsid w:val="006F40A5"/>
    <w:rsid w:val="0070408E"/>
    <w:rsid w:val="00707A05"/>
    <w:rsid w:val="00711D07"/>
    <w:rsid w:val="00716F0C"/>
    <w:rsid w:val="0072285A"/>
    <w:rsid w:val="0074262D"/>
    <w:rsid w:val="00751CCE"/>
    <w:rsid w:val="00780DAE"/>
    <w:rsid w:val="00786892"/>
    <w:rsid w:val="007942B0"/>
    <w:rsid w:val="007964BA"/>
    <w:rsid w:val="007D0FD5"/>
    <w:rsid w:val="00804E35"/>
    <w:rsid w:val="00806749"/>
    <w:rsid w:val="00807CCC"/>
    <w:rsid w:val="008152DB"/>
    <w:rsid w:val="00826870"/>
    <w:rsid w:val="008311B6"/>
    <w:rsid w:val="0084385F"/>
    <w:rsid w:val="008735F1"/>
    <w:rsid w:val="00886F0E"/>
    <w:rsid w:val="008A491A"/>
    <w:rsid w:val="008A5E54"/>
    <w:rsid w:val="008B1A68"/>
    <w:rsid w:val="008B7D1E"/>
    <w:rsid w:val="008C5525"/>
    <w:rsid w:val="008D142C"/>
    <w:rsid w:val="008E0DF2"/>
    <w:rsid w:val="0091214C"/>
    <w:rsid w:val="0092246D"/>
    <w:rsid w:val="0093216B"/>
    <w:rsid w:val="00953747"/>
    <w:rsid w:val="00961B4D"/>
    <w:rsid w:val="00991DFF"/>
    <w:rsid w:val="00993C88"/>
    <w:rsid w:val="009A4511"/>
    <w:rsid w:val="009B33A4"/>
    <w:rsid w:val="009B4AB0"/>
    <w:rsid w:val="009C0D2C"/>
    <w:rsid w:val="009C4BB6"/>
    <w:rsid w:val="009C7397"/>
    <w:rsid w:val="009C7DA3"/>
    <w:rsid w:val="009D431A"/>
    <w:rsid w:val="009E239E"/>
    <w:rsid w:val="009F75C9"/>
    <w:rsid w:val="00A03B2B"/>
    <w:rsid w:val="00A23326"/>
    <w:rsid w:val="00A448C3"/>
    <w:rsid w:val="00A45EF6"/>
    <w:rsid w:val="00A57DD7"/>
    <w:rsid w:val="00A939FC"/>
    <w:rsid w:val="00AA5942"/>
    <w:rsid w:val="00AB56C9"/>
    <w:rsid w:val="00AE756F"/>
    <w:rsid w:val="00AF4F0E"/>
    <w:rsid w:val="00AF78E5"/>
    <w:rsid w:val="00B1076B"/>
    <w:rsid w:val="00B26ACE"/>
    <w:rsid w:val="00B27050"/>
    <w:rsid w:val="00B57B9E"/>
    <w:rsid w:val="00B61D5C"/>
    <w:rsid w:val="00B649B0"/>
    <w:rsid w:val="00B8609D"/>
    <w:rsid w:val="00BA59B4"/>
    <w:rsid w:val="00BB55A3"/>
    <w:rsid w:val="00BC329A"/>
    <w:rsid w:val="00BC7034"/>
    <w:rsid w:val="00BD2075"/>
    <w:rsid w:val="00BD378B"/>
    <w:rsid w:val="00C2306D"/>
    <w:rsid w:val="00C235CE"/>
    <w:rsid w:val="00C51919"/>
    <w:rsid w:val="00C77C2E"/>
    <w:rsid w:val="00C82297"/>
    <w:rsid w:val="00C83273"/>
    <w:rsid w:val="00C92062"/>
    <w:rsid w:val="00CA0BC4"/>
    <w:rsid w:val="00CB1470"/>
    <w:rsid w:val="00CC0BEE"/>
    <w:rsid w:val="00CC3888"/>
    <w:rsid w:val="00CC7BAE"/>
    <w:rsid w:val="00CF03AB"/>
    <w:rsid w:val="00CF33C4"/>
    <w:rsid w:val="00D0334A"/>
    <w:rsid w:val="00D46014"/>
    <w:rsid w:val="00D57B43"/>
    <w:rsid w:val="00D83E5B"/>
    <w:rsid w:val="00D843F6"/>
    <w:rsid w:val="00D86F0A"/>
    <w:rsid w:val="00D909E7"/>
    <w:rsid w:val="00DA2A30"/>
    <w:rsid w:val="00DA4F5C"/>
    <w:rsid w:val="00DB0A76"/>
    <w:rsid w:val="00DD4EB4"/>
    <w:rsid w:val="00E0091C"/>
    <w:rsid w:val="00E14B5E"/>
    <w:rsid w:val="00E17FCD"/>
    <w:rsid w:val="00E254F8"/>
    <w:rsid w:val="00E3073A"/>
    <w:rsid w:val="00E32C66"/>
    <w:rsid w:val="00E36AF2"/>
    <w:rsid w:val="00E549DC"/>
    <w:rsid w:val="00E776AC"/>
    <w:rsid w:val="00E874DC"/>
    <w:rsid w:val="00E97466"/>
    <w:rsid w:val="00EF189D"/>
    <w:rsid w:val="00F006C5"/>
    <w:rsid w:val="00F34D7F"/>
    <w:rsid w:val="00F508EA"/>
    <w:rsid w:val="00FA0703"/>
    <w:rsid w:val="00FC15F0"/>
    <w:rsid w:val="00FC64E3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CC51B-A220-42AE-8D95-9E2DEF50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A5"/>
    <w:pPr>
      <w:spacing w:after="200" w:line="276" w:lineRule="auto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46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0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0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6F40A5"/>
    <w:pPr>
      <w:ind w:left="720"/>
      <w:contextualSpacing/>
    </w:pPr>
  </w:style>
  <w:style w:type="character" w:styleId="Hyperlink">
    <w:name w:val="Hyperlink"/>
    <w:uiPriority w:val="99"/>
    <w:rsid w:val="006F40A5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F40A5"/>
    <w:rPr>
      <w:rFonts w:asciiTheme="majorHAnsi" w:eastAsiaTheme="majorEastAsia" w:hAnsiTheme="majorHAnsi" w:cstheme="majorBidi"/>
      <w:i/>
      <w:iCs/>
      <w:color w:val="2E74B5" w:themeColor="accent1" w:themeShade="BF"/>
      <w:lang w:bidi="en-US"/>
    </w:rPr>
  </w:style>
  <w:style w:type="paragraph" w:styleId="FootnoteText">
    <w:name w:val="footnote text"/>
    <w:basedOn w:val="Normal"/>
    <w:link w:val="FootnoteTextChar"/>
    <w:uiPriority w:val="99"/>
    <w:rsid w:val="006F40A5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0A5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uiPriority w:val="99"/>
    <w:rsid w:val="006F40A5"/>
    <w:rPr>
      <w:rFonts w:cs="Times New Roman"/>
      <w:vertAlign w:val="superscript"/>
    </w:rPr>
  </w:style>
  <w:style w:type="paragraph" w:styleId="ListBullet">
    <w:name w:val="List Bullet"/>
    <w:basedOn w:val="Normal"/>
    <w:unhideWhenUsed/>
    <w:rsid w:val="006F40A5"/>
    <w:pPr>
      <w:numPr>
        <w:numId w:val="2"/>
      </w:numPr>
      <w:contextualSpacing/>
    </w:pPr>
    <w:rPr>
      <w:lang w:val="en-SG" w:eastAsia="en-SG" w:bidi="ar-SA"/>
    </w:rPr>
  </w:style>
  <w:style w:type="table" w:styleId="TableGrid">
    <w:name w:val="Table Grid"/>
    <w:basedOn w:val="TableNormal"/>
    <w:rsid w:val="006F40A5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40A5"/>
    <w:pPr>
      <w:spacing w:after="0" w:line="240" w:lineRule="auto"/>
    </w:pPr>
    <w:rPr>
      <w:rFonts w:eastAsiaTheme="minorEastAsia"/>
      <w:lang w:val="en-SG" w:eastAsia="en-SG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0A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SG" w:eastAsia="en-SG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F40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66"/>
    <w:rPr>
      <w:rFonts w:ascii="Segoe UI" w:eastAsiaTheme="minorEastAsia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7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466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66"/>
    <w:rPr>
      <w:rFonts w:eastAsiaTheme="minorEastAsi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A0BC4"/>
    <w:pPr>
      <w:spacing w:after="0" w:line="240" w:lineRule="auto"/>
    </w:pPr>
    <w:rPr>
      <w:rFonts w:eastAsiaTheme="minorEastAs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4601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SG" w:bidi="ar-SA"/>
    </w:rPr>
  </w:style>
  <w:style w:type="character" w:customStyle="1" w:styleId="TitleChar">
    <w:name w:val="Title Char"/>
    <w:basedOn w:val="DefaultParagraphFont"/>
    <w:link w:val="Title"/>
    <w:uiPriority w:val="10"/>
    <w:rsid w:val="00D460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character" w:customStyle="1" w:styleId="apple-converted-space">
    <w:name w:val="apple-converted-space"/>
    <w:basedOn w:val="DefaultParagraphFont"/>
    <w:rsid w:val="00D46014"/>
  </w:style>
  <w:style w:type="paragraph" w:styleId="TOCHeading">
    <w:name w:val="TOC Heading"/>
    <w:basedOn w:val="Heading1"/>
    <w:next w:val="Normal"/>
    <w:qFormat/>
    <w:rsid w:val="00D46014"/>
    <w:pPr>
      <w:tabs>
        <w:tab w:val="num" w:pos="432"/>
      </w:tabs>
      <w:ind w:left="432" w:hanging="432"/>
      <w:outlineLvl w:val="9"/>
    </w:pPr>
    <w:rPr>
      <w:rFonts w:ascii="Cambria" w:eastAsia="Times New Roman" w:hAnsi="Cambria" w:cs="Times New Roman"/>
      <w:color w:val="365F91"/>
      <w:lang w:val="es-ES" w:bidi="ar-SA"/>
    </w:rPr>
  </w:style>
  <w:style w:type="paragraph" w:styleId="Header">
    <w:name w:val="header"/>
    <w:basedOn w:val="Normal"/>
    <w:link w:val="HeaderChar"/>
    <w:uiPriority w:val="99"/>
    <w:unhideWhenUsed/>
    <w:rsid w:val="0001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B5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B5"/>
    <w:rPr>
      <w:rFonts w:eastAsiaTheme="minorEastAsia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1B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625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whatyoufund.org/index/2014-a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shwhatyoufund.org/index/2014-a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5517-C579-430B-927A-529ABA11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ATI indicators</dc:title>
  <dc:creator>PWYF</dc:creator>
  <cp:lastModifiedBy>Shreya Basu</cp:lastModifiedBy>
  <cp:revision>13</cp:revision>
  <dcterms:created xsi:type="dcterms:W3CDTF">2014-03-27T13:50:00Z</dcterms:created>
  <dcterms:modified xsi:type="dcterms:W3CDTF">2014-04-03T10:25:00Z</dcterms:modified>
</cp:coreProperties>
</file>